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B52" w:rsidRPr="003F64A9" w:rsidRDefault="00F51438" w:rsidP="003F64A9">
      <w:pPr>
        <w:pStyle w:val="TechnicalBlock"/>
        <w:ind w:left="-1134" w:right="-1134"/>
      </w:pPr>
      <w:bookmarkStart w:id="0" w:name="DW_BM_COVERPAGE"/>
      <w:r>
        <w:rPr>
          <w:noProof/>
          <w:lang w:val="hr-HR" w:eastAsia="hr-HR"/>
        </w:rPr>
        <w:drawing>
          <wp:inline distT="0" distB="0" distL="0" distR="0">
            <wp:extent cx="7226300" cy="4591050"/>
            <wp:effectExtent l="0" t="0" r="0" b="0"/>
            <wp:docPr id="1" name="Picture 1" descr="Document Cover Page.&#10;Document Number: 8764/20.&#10;Subject Codes: SOC 406 EMPL 321 SAN 201 GENDER 94 ANTIDISCRIM 87.&#10;Heading: NOTE.&#10;Originator: Presidency.&#10;Recipient: Delegations.&#10;Subject: Impact of Long-Term Care on Work-Life Balance - Presidency Conclusions.&#10;Commission Document Number: Not Set.&#10;Preceeding Document Number: ST 8484/20.&#10;Location: Brussels.&#10;Date: 10 June 2020.&#10;Interinstitutional Files: Not Set.&#10;Institutional Framework: Council of the European Union.&#10;Language: EN.&#10;Distribution Code: PUBLIC.&#10;GUID: 522810724217401948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8764/20.&#10;Subject Codes: SOC 406 EMPL 321 SAN 201 GENDER 94 ANTIDISCRIM 87.&#10;Heading: NOTE.&#10;Originator: Presidency.&#10;Recipient: Delegations.&#10;Subject: Impact of Long-Term Care on Work-Life Balance - Presidency Conclusions.&#10;Commission Document Number: Not Set.&#10;Preceeding Document Number: ST 8484/20.&#10;Location: Brussels.&#10;Date: 10 June 2020.&#10;Interinstitutional Files: Not Set.&#10;Institutional Framework: Council of the European Union.&#10;Language: EN.&#10;Distribution Code: PUBLIC.&#10;GUID: 5228107242174019483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6300" cy="4591050"/>
                    </a:xfrm>
                    <a:prstGeom prst="rect">
                      <a:avLst/>
                    </a:prstGeom>
                    <a:noFill/>
                    <a:ln>
                      <a:noFill/>
                    </a:ln>
                  </pic:spPr>
                </pic:pic>
              </a:graphicData>
            </a:graphic>
          </wp:inline>
        </w:drawing>
      </w:r>
      <w:bookmarkEnd w:id="0"/>
    </w:p>
    <w:p w:rsidR="00D56B52" w:rsidRPr="0055460A" w:rsidRDefault="0055460A" w:rsidP="004407D2">
      <w:r w:rsidRPr="0055460A">
        <w:t xml:space="preserve">At the </w:t>
      </w:r>
      <w:proofErr w:type="spellStart"/>
      <w:r w:rsidRPr="0055460A">
        <w:t>Coreper</w:t>
      </w:r>
      <w:proofErr w:type="spellEnd"/>
      <w:r w:rsidRPr="0055460A">
        <w:t xml:space="preserve"> meeting on 10 June 2020, discussions did not lead to consensus on Conclusions on the Impact of Long-Term Care on Work-Life Balance. </w:t>
      </w:r>
      <w:proofErr w:type="gramStart"/>
      <w:r w:rsidRPr="0055460A">
        <w:t>Due to the extraordinary circumstances created by the Covid-19 pandemic which do not allow for formal Council meetings to take place, it is not possible for the Council itself to discuss the text and therefore the Presiden</w:t>
      </w:r>
      <w:r w:rsidR="00F6289D">
        <w:t>cy</w:t>
      </w:r>
      <w:r w:rsidRPr="0055460A">
        <w:t xml:space="preserve"> </w:t>
      </w:r>
      <w:r w:rsidR="00F6289D">
        <w:t xml:space="preserve">concluded at the </w:t>
      </w:r>
      <w:proofErr w:type="spellStart"/>
      <w:r w:rsidR="00F6289D">
        <w:t>Coreper</w:t>
      </w:r>
      <w:proofErr w:type="spellEnd"/>
      <w:r w:rsidR="00F6289D">
        <w:t xml:space="preserve"> meeting </w:t>
      </w:r>
      <w:r w:rsidRPr="0055460A">
        <w:t xml:space="preserve">that the text annexed to this note was supported or not objected to by </w:t>
      </w:r>
      <w:r w:rsidR="004407D2">
        <w:t xml:space="preserve">26 </w:t>
      </w:r>
      <w:r w:rsidRPr="0055460A">
        <w:t>delegations</w:t>
      </w:r>
      <w:r w:rsidR="00D9133F">
        <w:t xml:space="preserve"> (including the Presidency)</w:t>
      </w:r>
      <w:r w:rsidRPr="0055460A">
        <w:t>.</w:t>
      </w:r>
      <w:proofErr w:type="gramEnd"/>
    </w:p>
    <w:p w:rsidR="00D379DA" w:rsidRPr="00D56B52" w:rsidRDefault="00D56B52" w:rsidP="00D56B52">
      <w:pPr>
        <w:jc w:val="center"/>
        <w:rPr>
          <w:lang w:val="en-US"/>
        </w:rPr>
      </w:pPr>
      <w:r>
        <w:rPr>
          <w:lang w:val="en-US"/>
        </w:rPr>
        <w:t>_________________</w:t>
      </w:r>
    </w:p>
    <w:p w:rsidR="00D56B52" w:rsidRPr="00B92458" w:rsidRDefault="00D56B52" w:rsidP="00D56B52"/>
    <w:p w:rsidR="00367631" w:rsidRPr="00250D16" w:rsidRDefault="00367631" w:rsidP="00FA7581">
      <w:pPr>
        <w:rPr>
          <w:color w:val="000000" w:themeColor="text1"/>
          <w:szCs w:val="24"/>
        </w:rPr>
        <w:sectPr w:rsidR="00367631" w:rsidRPr="00250D16" w:rsidSect="003F64A9">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1"/>
          <w:cols w:space="720"/>
          <w:titlePg/>
          <w:docGrid w:linePitch="360"/>
        </w:sectPr>
      </w:pPr>
    </w:p>
    <w:p w:rsidR="00E70E05" w:rsidRDefault="00237C0C" w:rsidP="00E70E05">
      <w:pPr>
        <w:ind w:right="360"/>
        <w:jc w:val="center"/>
        <w:rPr>
          <w:b/>
          <w:color w:val="000000" w:themeColor="text1"/>
          <w:szCs w:val="24"/>
        </w:rPr>
      </w:pPr>
      <w:r>
        <w:rPr>
          <w:b/>
          <w:color w:val="000000" w:themeColor="text1"/>
          <w:szCs w:val="24"/>
        </w:rPr>
        <w:t xml:space="preserve">Impact of Long-Term Care on Work-Life Balance </w:t>
      </w:r>
    </w:p>
    <w:p w:rsidR="00237C0C" w:rsidRDefault="00237C0C" w:rsidP="00237C0C">
      <w:pPr>
        <w:ind w:left="567" w:right="360" w:hanging="567"/>
        <w:rPr>
          <w:color w:val="000000" w:themeColor="text1"/>
          <w:szCs w:val="24"/>
        </w:rPr>
      </w:pPr>
      <w:r>
        <w:rPr>
          <w:color w:val="000000" w:themeColor="text1"/>
          <w:szCs w:val="24"/>
        </w:rPr>
        <w:t>1.</w:t>
      </w:r>
      <w:r>
        <w:rPr>
          <w:color w:val="000000" w:themeColor="text1"/>
          <w:szCs w:val="24"/>
        </w:rPr>
        <w:tab/>
      </w:r>
      <w:r>
        <w:rPr>
          <w:b/>
          <w:bCs/>
          <w:color w:val="000000" w:themeColor="text1"/>
          <w:szCs w:val="24"/>
        </w:rPr>
        <w:t>RECALLING</w:t>
      </w:r>
      <w:r>
        <w:rPr>
          <w:color w:val="000000" w:themeColor="text1"/>
          <w:szCs w:val="24"/>
        </w:rPr>
        <w:t xml:space="preserve"> that equality between women and men is a fundamental principle of the European Union enshrined in the Treaties and recognised in Article 23 of the Charter of Fundamental Rights of the European Union. Article 8 of the Treaty on the Functioning of the European Union (TFEU) requires the Union to aim, in all its activities, to eliminate inequalities, and to promote equality, between women and men. </w:t>
      </w:r>
    </w:p>
    <w:p w:rsidR="00237C0C" w:rsidRDefault="00237C0C" w:rsidP="00237C0C">
      <w:pPr>
        <w:ind w:left="567" w:right="360" w:hanging="567"/>
        <w:rPr>
          <w:color w:val="000000" w:themeColor="text1"/>
          <w:szCs w:val="24"/>
        </w:rPr>
      </w:pPr>
      <w:r>
        <w:rPr>
          <w:color w:val="000000" w:themeColor="text1"/>
          <w:szCs w:val="24"/>
        </w:rPr>
        <w:t>2.</w:t>
      </w:r>
      <w:r>
        <w:rPr>
          <w:color w:val="000000" w:themeColor="text1"/>
          <w:szCs w:val="24"/>
        </w:rPr>
        <w:tab/>
      </w:r>
      <w:r>
        <w:rPr>
          <w:b/>
          <w:bCs/>
          <w:color w:val="000000" w:themeColor="text1"/>
          <w:szCs w:val="24"/>
        </w:rPr>
        <w:t>STRESSING</w:t>
      </w:r>
      <w:r>
        <w:rPr>
          <w:color w:val="000000" w:themeColor="text1"/>
          <w:szCs w:val="24"/>
        </w:rPr>
        <w:t xml:space="preserve"> that gender mainstreaming is a long-term driver of smart, sustainable and inclusive growth, as well as a precondition of gender equality itself, and a way of promoting prosperity, competitiveness and employment, as well as inclusiveness, social cohesion and wellbeing.</w:t>
      </w:r>
    </w:p>
    <w:p w:rsidR="00237C0C" w:rsidRDefault="00237C0C" w:rsidP="00237C0C">
      <w:pPr>
        <w:ind w:left="567" w:right="360" w:hanging="567"/>
        <w:rPr>
          <w:color w:val="000000" w:themeColor="text1"/>
          <w:szCs w:val="24"/>
        </w:rPr>
      </w:pPr>
      <w:r>
        <w:rPr>
          <w:color w:val="000000" w:themeColor="text1"/>
          <w:szCs w:val="24"/>
        </w:rPr>
        <w:t>3.</w:t>
      </w:r>
      <w:r>
        <w:rPr>
          <w:color w:val="000000" w:themeColor="text1"/>
          <w:szCs w:val="24"/>
        </w:rPr>
        <w:tab/>
      </w:r>
      <w:r>
        <w:rPr>
          <w:b/>
          <w:bCs/>
          <w:color w:val="000000" w:themeColor="text1"/>
          <w:szCs w:val="24"/>
        </w:rPr>
        <w:t>REAFFIRMING</w:t>
      </w:r>
      <w:r>
        <w:rPr>
          <w:color w:val="000000" w:themeColor="text1"/>
          <w:szCs w:val="24"/>
        </w:rPr>
        <w:t xml:space="preserve"> that achieving gender equality in the field of work and providing equal opportunities and treatment for women and men is one of the most important goals of the European Union. As women are still under-represented and suffer various forms of discrimination in the labour market, and take on a disproportionate share of unpaid care work and domestic work, the goal is to provide them with the same opportunities in the workplace as men, with a view to reducing the gender gaps in the labour market.</w:t>
      </w:r>
    </w:p>
    <w:p w:rsidR="00237C0C" w:rsidRDefault="00237C0C" w:rsidP="00237C0C">
      <w:pPr>
        <w:ind w:left="567" w:right="360" w:hanging="567"/>
        <w:rPr>
          <w:color w:val="000000" w:themeColor="text1"/>
          <w:szCs w:val="24"/>
          <w:shd w:val="clear" w:color="auto" w:fill="FFFFFF"/>
        </w:rPr>
      </w:pPr>
      <w:r>
        <w:rPr>
          <w:color w:val="000000" w:themeColor="text1"/>
          <w:szCs w:val="24"/>
        </w:rPr>
        <w:t>4.</w:t>
      </w:r>
      <w:r>
        <w:rPr>
          <w:color w:val="000000" w:themeColor="text1"/>
          <w:szCs w:val="24"/>
        </w:rPr>
        <w:tab/>
      </w:r>
      <w:r>
        <w:rPr>
          <w:b/>
          <w:bCs/>
          <w:color w:val="000000" w:themeColor="text1"/>
          <w:szCs w:val="24"/>
        </w:rPr>
        <w:t>RECALLING</w:t>
      </w:r>
      <w:r>
        <w:rPr>
          <w:color w:val="000000" w:themeColor="text1"/>
          <w:szCs w:val="24"/>
        </w:rPr>
        <w:t xml:space="preserve"> that gender equality and work-life balance </w:t>
      </w:r>
      <w:proofErr w:type="gramStart"/>
      <w:r>
        <w:rPr>
          <w:color w:val="000000" w:themeColor="text1"/>
          <w:szCs w:val="24"/>
        </w:rPr>
        <w:t>are referred</w:t>
      </w:r>
      <w:proofErr w:type="gramEnd"/>
      <w:r>
        <w:rPr>
          <w:color w:val="000000" w:themeColor="text1"/>
          <w:szCs w:val="24"/>
        </w:rPr>
        <w:t xml:space="preserve"> to in Principles 2 and 9 of the European Pillar of Social Rights. In particular, Principle 2 states that equality of treatment and opportunities between women and men </w:t>
      </w:r>
      <w:proofErr w:type="gramStart"/>
      <w:r>
        <w:rPr>
          <w:color w:val="000000" w:themeColor="text1"/>
          <w:szCs w:val="24"/>
        </w:rPr>
        <w:t>must be ensured and fostered in all areas, including regarding participation in the labour market, terms and conditions of employment and career progression</w:t>
      </w:r>
      <w:proofErr w:type="gramEnd"/>
      <w:r>
        <w:rPr>
          <w:color w:val="000000" w:themeColor="text1"/>
          <w:szCs w:val="24"/>
        </w:rPr>
        <w:t>. It also states that women and men have the right to equal pay for work of equal value. Principle 3 stresses the right to equal treatment and equal opportunities for everyone. Principle 9 specifically states that parents and other persons with care responsibilities have the right to suitable leave, flexible working arrangements and access to care services. Moreover, Principle 18 states that e</w:t>
      </w:r>
      <w:r>
        <w:rPr>
          <w:color w:val="000000" w:themeColor="text1"/>
          <w:szCs w:val="24"/>
          <w:shd w:val="clear" w:color="auto" w:fill="FFFFFF"/>
        </w:rPr>
        <w:t xml:space="preserve">veryone has the right to affordable long-term care services of good quality, in particular home-care and community-based services. </w:t>
      </w:r>
    </w:p>
    <w:p w:rsidR="00237C0C" w:rsidRDefault="00237C0C" w:rsidP="00237C0C">
      <w:pPr>
        <w:ind w:left="567" w:right="360" w:hanging="567"/>
        <w:rPr>
          <w:color w:val="000000" w:themeColor="text1"/>
          <w:szCs w:val="24"/>
        </w:rPr>
      </w:pPr>
      <w:r>
        <w:rPr>
          <w:color w:val="000000" w:themeColor="text1"/>
          <w:szCs w:val="24"/>
        </w:rPr>
        <w:br w:type="page"/>
        <w:t>5.</w:t>
      </w:r>
      <w:r>
        <w:rPr>
          <w:color w:val="000000" w:themeColor="text1"/>
          <w:szCs w:val="24"/>
        </w:rPr>
        <w:tab/>
      </w:r>
      <w:r>
        <w:rPr>
          <w:b/>
          <w:bCs/>
          <w:color w:val="000000" w:themeColor="text1"/>
          <w:szCs w:val="24"/>
        </w:rPr>
        <w:t>RECALLING</w:t>
      </w:r>
      <w:r>
        <w:rPr>
          <w:color w:val="000000" w:themeColor="text1"/>
          <w:szCs w:val="24"/>
        </w:rPr>
        <w:t xml:space="preserve"> the Commission Communication “A strong social Europe for just transitions”, which calls for improved childcare and long-term care services as one of the ways of ensuring that care responsibilities are shared more equally between women and men, with a view to facilitating women’s participation in the labour market on an equal footing with men.</w:t>
      </w:r>
    </w:p>
    <w:p w:rsidR="00237C0C" w:rsidRDefault="00237C0C" w:rsidP="00237C0C">
      <w:pPr>
        <w:ind w:left="567" w:right="360" w:hanging="567"/>
        <w:rPr>
          <w:color w:val="000000" w:themeColor="text1"/>
          <w:szCs w:val="24"/>
        </w:rPr>
      </w:pPr>
      <w:r>
        <w:rPr>
          <w:color w:val="000000" w:themeColor="text1"/>
          <w:szCs w:val="24"/>
        </w:rPr>
        <w:t>6.</w:t>
      </w:r>
      <w:r>
        <w:rPr>
          <w:color w:val="000000" w:themeColor="text1"/>
          <w:szCs w:val="24"/>
        </w:rPr>
        <w:tab/>
      </w:r>
      <w:r>
        <w:rPr>
          <w:b/>
          <w:bCs/>
          <w:color w:val="000000" w:themeColor="text1"/>
          <w:szCs w:val="24"/>
        </w:rPr>
        <w:t>HIGHLIGHTING</w:t>
      </w:r>
      <w:r>
        <w:rPr>
          <w:color w:val="000000" w:themeColor="text1"/>
          <w:szCs w:val="24"/>
        </w:rPr>
        <w:t xml:space="preserve"> that women are still underrepresented in the labour market as a whole and are more likely to work part-time and in low-paying sectors, and to be paid less, as well as being less likely to work in decision-making positions. In conjunction with more frequent career interruptions, this often leads to gender gaps in social protection coverage, including pensions, and in overall earnings. </w:t>
      </w:r>
    </w:p>
    <w:p w:rsidR="00237C0C" w:rsidRDefault="00237C0C" w:rsidP="00237C0C">
      <w:pPr>
        <w:ind w:left="567" w:right="360" w:hanging="567"/>
        <w:rPr>
          <w:color w:val="000000" w:themeColor="text1"/>
          <w:szCs w:val="24"/>
        </w:rPr>
      </w:pPr>
      <w:r>
        <w:rPr>
          <w:color w:val="000000" w:themeColor="text1"/>
          <w:szCs w:val="24"/>
        </w:rPr>
        <w:t>7.</w:t>
      </w:r>
      <w:r>
        <w:rPr>
          <w:color w:val="000000" w:themeColor="text1"/>
          <w:szCs w:val="24"/>
        </w:rPr>
        <w:tab/>
      </w:r>
      <w:r>
        <w:rPr>
          <w:b/>
          <w:bCs/>
          <w:color w:val="000000" w:themeColor="text1"/>
          <w:szCs w:val="24"/>
        </w:rPr>
        <w:t>STRESSING</w:t>
      </w:r>
      <w:r>
        <w:rPr>
          <w:color w:val="000000" w:themeColor="text1"/>
          <w:szCs w:val="24"/>
        </w:rPr>
        <w:t xml:space="preserve"> </w:t>
      </w:r>
      <w:proofErr w:type="gramStart"/>
      <w:r>
        <w:rPr>
          <w:color w:val="000000" w:themeColor="text1"/>
          <w:szCs w:val="24"/>
        </w:rPr>
        <w:t>that women</w:t>
      </w:r>
      <w:proofErr w:type="gramEnd"/>
      <w:r>
        <w:rPr>
          <w:color w:val="000000" w:themeColor="text1"/>
          <w:szCs w:val="24"/>
        </w:rPr>
        <w:t xml:space="preserve"> who undertake informal care responsibilities can, as a result, face adverse economic and health consequences and a higher risk of poverty throughout the life-cycle.</w:t>
      </w:r>
    </w:p>
    <w:p w:rsidR="00237C0C" w:rsidRDefault="00237C0C" w:rsidP="00237C0C">
      <w:pPr>
        <w:ind w:left="567" w:right="360" w:hanging="567"/>
        <w:rPr>
          <w:color w:val="000000" w:themeColor="text1"/>
          <w:szCs w:val="24"/>
        </w:rPr>
      </w:pPr>
      <w:r>
        <w:rPr>
          <w:color w:val="000000" w:themeColor="text1"/>
          <w:szCs w:val="24"/>
        </w:rPr>
        <w:t>8.</w:t>
      </w:r>
      <w:r>
        <w:rPr>
          <w:color w:val="000000" w:themeColor="text1"/>
          <w:szCs w:val="24"/>
        </w:rPr>
        <w:tab/>
      </w:r>
      <w:r>
        <w:rPr>
          <w:b/>
          <w:bCs/>
          <w:color w:val="000000" w:themeColor="text1"/>
          <w:szCs w:val="24"/>
        </w:rPr>
        <w:t>STRESSING</w:t>
      </w:r>
      <w:r>
        <w:rPr>
          <w:color w:val="000000" w:themeColor="text1"/>
          <w:szCs w:val="24"/>
        </w:rPr>
        <w:t xml:space="preserve"> that providing equal access to the labour market and supporting women's full and equal participation therein is crucial in order to achieve equality. It is important for the European Union to reaffirm its determination </w:t>
      </w:r>
      <w:proofErr w:type="gramStart"/>
      <w:r>
        <w:rPr>
          <w:color w:val="000000" w:themeColor="text1"/>
          <w:szCs w:val="24"/>
        </w:rPr>
        <w:t>to further promote</w:t>
      </w:r>
      <w:proofErr w:type="gramEnd"/>
      <w:r>
        <w:rPr>
          <w:color w:val="000000" w:themeColor="text1"/>
          <w:szCs w:val="24"/>
        </w:rPr>
        <w:t xml:space="preserve"> equality and non-discrimination in this area.</w:t>
      </w:r>
    </w:p>
    <w:p w:rsidR="00237C0C" w:rsidRDefault="00237C0C" w:rsidP="00237C0C">
      <w:pPr>
        <w:ind w:left="567" w:right="360" w:hanging="567"/>
        <w:rPr>
          <w:color w:val="000000" w:themeColor="text1"/>
          <w:szCs w:val="24"/>
        </w:rPr>
      </w:pPr>
      <w:r>
        <w:rPr>
          <w:color w:val="000000" w:themeColor="text1"/>
          <w:szCs w:val="24"/>
        </w:rPr>
        <w:t>9.</w:t>
      </w:r>
      <w:r>
        <w:rPr>
          <w:color w:val="000000" w:themeColor="text1"/>
          <w:szCs w:val="24"/>
        </w:rPr>
        <w:tab/>
      </w:r>
      <w:r>
        <w:rPr>
          <w:b/>
          <w:bCs/>
          <w:color w:val="000000" w:themeColor="text1"/>
          <w:szCs w:val="24"/>
        </w:rPr>
        <w:t>NOTING</w:t>
      </w:r>
      <w:r>
        <w:rPr>
          <w:color w:val="000000" w:themeColor="text1"/>
          <w:szCs w:val="24"/>
        </w:rPr>
        <w:t xml:space="preserve"> that deep-rooted social norms and structures, cultural patterns and gender stereotypes often explain the unequal division of household and care responsibilities between women and men. On average, women spend more time performing unpaid work compared with men, largely because they assume a greater share of responsibility for childcare and the informal long-term-care of family members. The economic value of unpaid care work remains largely invisible. The division of household and care responsibilities cannot justify discrimination against women or men in the labour market or society. </w:t>
      </w:r>
    </w:p>
    <w:p w:rsidR="00237C0C" w:rsidRDefault="00237C0C" w:rsidP="00237C0C">
      <w:pPr>
        <w:ind w:left="567" w:right="357" w:hanging="567"/>
        <w:rPr>
          <w:color w:val="000000" w:themeColor="text1"/>
          <w:szCs w:val="24"/>
        </w:rPr>
      </w:pPr>
      <w:r>
        <w:rPr>
          <w:color w:val="000000" w:themeColor="text1"/>
          <w:szCs w:val="24"/>
        </w:rPr>
        <w:t>10.</w:t>
      </w:r>
      <w:r>
        <w:rPr>
          <w:b/>
          <w:bCs/>
          <w:color w:val="000000" w:themeColor="text1"/>
          <w:szCs w:val="24"/>
        </w:rPr>
        <w:tab/>
      </w:r>
      <w:r>
        <w:rPr>
          <w:b/>
          <w:color w:val="000000" w:themeColor="text1"/>
          <w:szCs w:val="24"/>
        </w:rPr>
        <w:t xml:space="preserve">NOTING </w:t>
      </w:r>
      <w:r>
        <w:rPr>
          <w:bCs/>
          <w:color w:val="000000" w:themeColor="text1"/>
          <w:szCs w:val="24"/>
        </w:rPr>
        <w:t>that many children, girls more often than boys, are involved in providing care to dependent family members and that this has a vast impact on their quality of life, education and mental health.</w:t>
      </w:r>
    </w:p>
    <w:p w:rsidR="00237C0C" w:rsidRDefault="00237C0C" w:rsidP="00237C0C">
      <w:pPr>
        <w:ind w:left="567" w:right="360" w:hanging="567"/>
        <w:rPr>
          <w:color w:val="000000" w:themeColor="text1"/>
          <w:szCs w:val="24"/>
        </w:rPr>
      </w:pPr>
      <w:r>
        <w:rPr>
          <w:color w:val="000000" w:themeColor="text1"/>
          <w:szCs w:val="24"/>
        </w:rPr>
        <w:br w:type="page"/>
        <w:t>11.</w:t>
      </w:r>
      <w:r>
        <w:rPr>
          <w:color w:val="000000" w:themeColor="text1"/>
          <w:szCs w:val="24"/>
        </w:rPr>
        <w:tab/>
      </w:r>
      <w:r>
        <w:rPr>
          <w:b/>
          <w:bCs/>
          <w:color w:val="000000" w:themeColor="text1"/>
          <w:szCs w:val="24"/>
        </w:rPr>
        <w:t>NOTING</w:t>
      </w:r>
      <w:r>
        <w:rPr>
          <w:color w:val="000000" w:themeColor="text1"/>
          <w:szCs w:val="24"/>
        </w:rPr>
        <w:t xml:space="preserve"> that demographic trends, including the rapidly ageing population and longer life expectancy, mean that the need for long-term care will increase in Europe. It is therefore particularly important to promote wellbeing, health and gender equality, as well as respect for the human rights and the inherent human dignity of the elderly.</w:t>
      </w:r>
    </w:p>
    <w:p w:rsidR="00237C0C" w:rsidRDefault="00237C0C" w:rsidP="00237C0C">
      <w:pPr>
        <w:ind w:left="567" w:right="360" w:hanging="567"/>
        <w:rPr>
          <w:color w:val="000000" w:themeColor="text1"/>
          <w:szCs w:val="24"/>
        </w:rPr>
      </w:pPr>
      <w:r>
        <w:rPr>
          <w:color w:val="000000" w:themeColor="text1"/>
          <w:szCs w:val="24"/>
        </w:rPr>
        <w:t>12.</w:t>
      </w:r>
      <w:r>
        <w:rPr>
          <w:color w:val="000000" w:themeColor="text1"/>
          <w:szCs w:val="24"/>
        </w:rPr>
        <w:tab/>
      </w:r>
      <w:r>
        <w:rPr>
          <w:b/>
          <w:bCs/>
          <w:color w:val="000000" w:themeColor="text1"/>
          <w:szCs w:val="24"/>
        </w:rPr>
        <w:t>RECALLING</w:t>
      </w:r>
      <w:r>
        <w:rPr>
          <w:color w:val="000000" w:themeColor="text1"/>
          <w:szCs w:val="24"/>
        </w:rPr>
        <w:t xml:space="preserve"> that, according to Target 5.4 of the United Nations 2030 Agenda for Sustainable Development, unpaid care and domestic work should be recognized and valued through the provision of public services, infrastructure and social protection policies and the promotion of equally shared responsibility within the household and the family,</w:t>
      </w:r>
      <w:r>
        <w:rPr>
          <w:b/>
          <w:bCs/>
          <w:color w:val="000000" w:themeColor="text1"/>
          <w:szCs w:val="24"/>
        </w:rPr>
        <w:t xml:space="preserve"> </w:t>
      </w:r>
      <w:r>
        <w:rPr>
          <w:color w:val="000000" w:themeColor="text1"/>
          <w:szCs w:val="24"/>
        </w:rPr>
        <w:t>as nationally appropriate.</w:t>
      </w:r>
    </w:p>
    <w:p w:rsidR="00237C0C" w:rsidRDefault="00237C0C" w:rsidP="00237C0C">
      <w:pPr>
        <w:ind w:left="567" w:right="360" w:hanging="567"/>
        <w:rPr>
          <w:color w:val="000000" w:themeColor="text1"/>
          <w:szCs w:val="24"/>
        </w:rPr>
      </w:pPr>
      <w:r>
        <w:rPr>
          <w:color w:val="000000" w:themeColor="text1"/>
          <w:szCs w:val="24"/>
        </w:rPr>
        <w:t>13.</w:t>
      </w:r>
      <w:r>
        <w:rPr>
          <w:color w:val="000000" w:themeColor="text1"/>
          <w:szCs w:val="24"/>
        </w:rPr>
        <w:tab/>
      </w:r>
      <w:r>
        <w:rPr>
          <w:b/>
          <w:bCs/>
          <w:color w:val="000000" w:themeColor="text1"/>
          <w:szCs w:val="24"/>
        </w:rPr>
        <w:t>ACKNOWLEDGING</w:t>
      </w:r>
      <w:r>
        <w:rPr>
          <w:color w:val="000000" w:themeColor="text1"/>
          <w:szCs w:val="24"/>
        </w:rPr>
        <w:t xml:space="preserve"> that the EU Member States are actively striving to support independent living at home through formal home-based or community-based long-term care. However, the supply of formal long-term care does not meet demand in many Member States. Therefore, care is often provided informally, usually by family members or other people from the social environment of the care </w:t>
      </w:r>
      <w:proofErr w:type="gramStart"/>
      <w:r>
        <w:rPr>
          <w:color w:val="000000" w:themeColor="text1"/>
          <w:szCs w:val="24"/>
        </w:rPr>
        <w:t>recipient,</w:t>
      </w:r>
      <w:proofErr w:type="gramEnd"/>
      <w:r>
        <w:rPr>
          <w:color w:val="000000" w:themeColor="text1"/>
          <w:szCs w:val="24"/>
        </w:rPr>
        <w:t xml:space="preserve"> or undeclared by non-professional carers, in both cases mostly women. </w:t>
      </w:r>
    </w:p>
    <w:p w:rsidR="00237C0C" w:rsidRDefault="00237C0C" w:rsidP="00237C0C">
      <w:pPr>
        <w:ind w:left="567" w:right="360" w:hanging="567"/>
        <w:rPr>
          <w:color w:val="000000" w:themeColor="text1"/>
          <w:szCs w:val="24"/>
        </w:rPr>
      </w:pPr>
      <w:r>
        <w:rPr>
          <w:color w:val="000000" w:themeColor="text1"/>
          <w:szCs w:val="24"/>
        </w:rPr>
        <w:t>14.</w:t>
      </w:r>
      <w:r>
        <w:rPr>
          <w:b/>
          <w:bCs/>
          <w:color w:val="000000" w:themeColor="text1"/>
          <w:szCs w:val="24"/>
        </w:rPr>
        <w:tab/>
        <w:t xml:space="preserve">ACKNOWLEDGING </w:t>
      </w:r>
      <w:r>
        <w:rPr>
          <w:color w:val="000000" w:themeColor="text1"/>
          <w:szCs w:val="24"/>
        </w:rPr>
        <w:t xml:space="preserve">the importance of EU funding for supporting independent living at home through formal home-based or community-based care and </w:t>
      </w:r>
      <w:r>
        <w:rPr>
          <w:b/>
          <w:bCs/>
          <w:color w:val="000000" w:themeColor="text1"/>
          <w:szCs w:val="24"/>
        </w:rPr>
        <w:t xml:space="preserve">RECALLING </w:t>
      </w:r>
      <w:r>
        <w:rPr>
          <w:color w:val="000000" w:themeColor="text1"/>
          <w:szCs w:val="24"/>
        </w:rPr>
        <w:t xml:space="preserve">the need for further research on the advantages and drawbacks of different long-term care regimes, especially for women. </w:t>
      </w:r>
    </w:p>
    <w:p w:rsidR="00237C0C" w:rsidRDefault="00237C0C" w:rsidP="00237C0C">
      <w:pPr>
        <w:ind w:left="567" w:right="360" w:hanging="567"/>
        <w:rPr>
          <w:b/>
          <w:bCs/>
          <w:iCs/>
          <w:color w:val="000000" w:themeColor="text1"/>
          <w:szCs w:val="24"/>
        </w:rPr>
      </w:pPr>
      <w:r>
        <w:rPr>
          <w:color w:val="000000" w:themeColor="text1"/>
          <w:szCs w:val="24"/>
        </w:rPr>
        <w:t>15.</w:t>
      </w:r>
      <w:r>
        <w:rPr>
          <w:color w:val="000000" w:themeColor="text1"/>
          <w:szCs w:val="24"/>
        </w:rPr>
        <w:tab/>
      </w:r>
      <w:r>
        <w:rPr>
          <w:b/>
          <w:bCs/>
          <w:color w:val="000000" w:themeColor="text1"/>
          <w:szCs w:val="24"/>
        </w:rPr>
        <w:t>RECOGNISING</w:t>
      </w:r>
      <w:r>
        <w:rPr>
          <w:color w:val="000000" w:themeColor="text1"/>
          <w:szCs w:val="24"/>
        </w:rPr>
        <w:t xml:space="preserve"> that in the formal care sector, where women are massively over-represented,</w:t>
      </w:r>
      <w:r>
        <w:rPr>
          <w:rStyle w:val="Referencafusnote"/>
          <w:bCs/>
          <w:color w:val="000000" w:themeColor="text1"/>
          <w:szCs w:val="24"/>
        </w:rPr>
        <w:footnoteReference w:id="1"/>
      </w:r>
      <w:r>
        <w:rPr>
          <w:b/>
          <w:bCs/>
          <w:color w:val="000000" w:themeColor="text1"/>
          <w:szCs w:val="24"/>
        </w:rPr>
        <w:t xml:space="preserve"> </w:t>
      </w:r>
      <w:r>
        <w:rPr>
          <w:color w:val="000000" w:themeColor="text1"/>
          <w:szCs w:val="24"/>
        </w:rPr>
        <w:t xml:space="preserve">the work performed is often characterised by high intensity, high physical and mental strain, atypical working time and low earnings. In some countries, the labour status of many care workers is precarious and they experience difficult working conditions. </w:t>
      </w:r>
      <w:r>
        <w:rPr>
          <w:iCs/>
          <w:color w:val="000000" w:themeColor="text1"/>
          <w:szCs w:val="24"/>
        </w:rPr>
        <w:t>There is sometimes also a risk of violence in the context of long-term care, particularly to women.</w:t>
      </w:r>
      <w:r>
        <w:rPr>
          <w:b/>
          <w:bCs/>
          <w:iCs/>
          <w:color w:val="000000" w:themeColor="text1"/>
          <w:szCs w:val="24"/>
        </w:rPr>
        <w:t xml:space="preserve"> </w:t>
      </w:r>
    </w:p>
    <w:p w:rsidR="00237C0C" w:rsidRDefault="00237C0C" w:rsidP="00237C0C">
      <w:pPr>
        <w:ind w:left="567" w:right="357" w:hanging="567"/>
        <w:rPr>
          <w:iCs/>
          <w:color w:val="000000" w:themeColor="text1"/>
          <w:szCs w:val="24"/>
        </w:rPr>
      </w:pPr>
      <w:r>
        <w:rPr>
          <w:color w:val="000000" w:themeColor="text1"/>
          <w:szCs w:val="24"/>
        </w:rPr>
        <w:br w:type="page"/>
        <w:t>16.</w:t>
      </w:r>
      <w:r>
        <w:rPr>
          <w:iCs/>
          <w:color w:val="000000" w:themeColor="text1"/>
          <w:szCs w:val="24"/>
        </w:rPr>
        <w:tab/>
      </w:r>
      <w:r>
        <w:rPr>
          <w:b/>
          <w:bCs/>
          <w:iCs/>
          <w:color w:val="000000" w:themeColor="text1"/>
          <w:szCs w:val="24"/>
        </w:rPr>
        <w:t xml:space="preserve">RECOGNISING, </w:t>
      </w:r>
      <w:r>
        <w:rPr>
          <w:iCs/>
          <w:color w:val="000000" w:themeColor="text1"/>
          <w:szCs w:val="24"/>
        </w:rPr>
        <w:t xml:space="preserve">moreover, that people who undertake informal care responsibilities may have </w:t>
      </w:r>
      <w:proofErr w:type="gramStart"/>
      <w:r>
        <w:rPr>
          <w:iCs/>
          <w:color w:val="000000" w:themeColor="text1"/>
          <w:szCs w:val="24"/>
        </w:rPr>
        <w:t>to  continue</w:t>
      </w:r>
      <w:proofErr w:type="gramEnd"/>
      <w:r>
        <w:rPr>
          <w:iCs/>
          <w:color w:val="000000" w:themeColor="text1"/>
          <w:szCs w:val="24"/>
        </w:rPr>
        <w:t xml:space="preserve"> providing this care, due to their relationship and the specific needs of the care receiver. It is essential to provide support for informal carers, especially given the gap between the supply and demand for formal, affordable, quality long-term care. </w:t>
      </w:r>
    </w:p>
    <w:p w:rsidR="00237C0C" w:rsidRDefault="00237C0C" w:rsidP="00237C0C">
      <w:pPr>
        <w:ind w:left="567" w:right="360" w:hanging="567"/>
        <w:rPr>
          <w:bCs/>
          <w:color w:val="000000" w:themeColor="text1"/>
          <w:szCs w:val="24"/>
        </w:rPr>
      </w:pPr>
      <w:r>
        <w:rPr>
          <w:color w:val="000000" w:themeColor="text1"/>
          <w:szCs w:val="24"/>
        </w:rPr>
        <w:t>17.</w:t>
      </w:r>
      <w:r>
        <w:rPr>
          <w:color w:val="000000" w:themeColor="text1"/>
          <w:szCs w:val="24"/>
        </w:rPr>
        <w:tab/>
      </w:r>
      <w:r>
        <w:rPr>
          <w:b/>
          <w:color w:val="000000" w:themeColor="text1"/>
          <w:szCs w:val="24"/>
        </w:rPr>
        <w:t xml:space="preserve">REAFFIRMING </w:t>
      </w:r>
      <w:r>
        <w:rPr>
          <w:bCs/>
          <w:color w:val="000000" w:themeColor="text1"/>
          <w:szCs w:val="24"/>
        </w:rPr>
        <w:t xml:space="preserve">the importance of qualified carers and also the need to </w:t>
      </w:r>
      <w:proofErr w:type="gramStart"/>
      <w:r>
        <w:rPr>
          <w:bCs/>
          <w:color w:val="000000" w:themeColor="text1"/>
          <w:szCs w:val="24"/>
        </w:rPr>
        <w:t>enhance  the</w:t>
      </w:r>
      <w:proofErr w:type="gramEnd"/>
      <w:r>
        <w:rPr>
          <w:bCs/>
          <w:color w:val="000000" w:themeColor="text1"/>
          <w:szCs w:val="24"/>
        </w:rPr>
        <w:t xml:space="preserve"> provision of long-term care in many Member States as well as to raise the social status of long-term care employees.</w:t>
      </w:r>
    </w:p>
    <w:p w:rsidR="00237C0C" w:rsidRDefault="00237C0C" w:rsidP="00237C0C">
      <w:pPr>
        <w:ind w:left="567" w:right="360" w:hanging="567"/>
        <w:rPr>
          <w:color w:val="000000" w:themeColor="text1"/>
          <w:szCs w:val="24"/>
        </w:rPr>
      </w:pPr>
      <w:r>
        <w:rPr>
          <w:color w:val="000000" w:themeColor="text1"/>
          <w:szCs w:val="24"/>
        </w:rPr>
        <w:t>18.</w:t>
      </w:r>
      <w:r>
        <w:rPr>
          <w:color w:val="000000" w:themeColor="text1"/>
          <w:szCs w:val="24"/>
        </w:rPr>
        <w:tab/>
      </w:r>
      <w:r>
        <w:rPr>
          <w:b/>
          <w:bCs/>
          <w:color w:val="000000" w:themeColor="text1"/>
          <w:szCs w:val="24"/>
        </w:rPr>
        <w:t>REAFFIRMING</w:t>
      </w:r>
      <w:r>
        <w:rPr>
          <w:color w:val="000000" w:themeColor="text1"/>
          <w:szCs w:val="24"/>
        </w:rPr>
        <w:t xml:space="preserve"> that the availability, accessibility and affordability of quality care services are the key prerequisites for enabling carers, especially women, to enter or stay in the labour market, and to reconcile work, family and private life. Social and health services addressing the care needs of dependent children and family members can facilitate the participation of women in the labour market and their economic independence and their social inclusion, as well as the equal sharing of responsibilities with men. However, recent studies have revealed significant systemic challenges linked to the fact that long-term formal care services in many Member States are underdeveloped and inaccessible. </w:t>
      </w:r>
    </w:p>
    <w:p w:rsidR="00237C0C" w:rsidRDefault="00237C0C" w:rsidP="00237C0C">
      <w:pPr>
        <w:ind w:left="567" w:right="360" w:hanging="567"/>
        <w:rPr>
          <w:color w:val="000000" w:themeColor="text1"/>
          <w:szCs w:val="24"/>
        </w:rPr>
      </w:pPr>
      <w:r>
        <w:rPr>
          <w:color w:val="000000" w:themeColor="text1"/>
          <w:szCs w:val="24"/>
        </w:rPr>
        <w:t>19.</w:t>
      </w:r>
      <w:r>
        <w:rPr>
          <w:color w:val="000000" w:themeColor="text1"/>
          <w:szCs w:val="24"/>
        </w:rPr>
        <w:tab/>
      </w:r>
      <w:proofErr w:type="gramStart"/>
      <w:r>
        <w:rPr>
          <w:b/>
          <w:bCs/>
          <w:color w:val="000000" w:themeColor="text1"/>
          <w:szCs w:val="24"/>
        </w:rPr>
        <w:t>RECOGNISING</w:t>
      </w:r>
      <w:r>
        <w:rPr>
          <w:color w:val="000000" w:themeColor="text1"/>
          <w:szCs w:val="24"/>
        </w:rPr>
        <w:t xml:space="preserve">  the</w:t>
      </w:r>
      <w:proofErr w:type="gramEnd"/>
      <w:r>
        <w:rPr>
          <w:color w:val="000000" w:themeColor="text1"/>
          <w:szCs w:val="24"/>
        </w:rPr>
        <w:t xml:space="preserve"> importance, when providing services and support to children, in particular those with disabilities and their families, of respecting the best interests of the child as the primary consideration, as well as the importance of a family environment for the growth and wellbeing of children.</w:t>
      </w:r>
    </w:p>
    <w:p w:rsidR="00237C0C" w:rsidRDefault="00237C0C" w:rsidP="00237C0C">
      <w:pPr>
        <w:ind w:left="567" w:right="360" w:hanging="567"/>
        <w:rPr>
          <w:color w:val="000000" w:themeColor="text1"/>
          <w:szCs w:val="24"/>
        </w:rPr>
      </w:pPr>
      <w:r>
        <w:rPr>
          <w:color w:val="000000" w:themeColor="text1"/>
          <w:szCs w:val="24"/>
        </w:rPr>
        <w:t>20.</w:t>
      </w:r>
      <w:r>
        <w:rPr>
          <w:color w:val="000000" w:themeColor="text1"/>
          <w:szCs w:val="24"/>
        </w:rPr>
        <w:tab/>
      </w:r>
      <w:r>
        <w:rPr>
          <w:b/>
          <w:bCs/>
          <w:color w:val="000000" w:themeColor="text1"/>
          <w:szCs w:val="24"/>
        </w:rPr>
        <w:t>NOTING</w:t>
      </w:r>
      <w:r>
        <w:rPr>
          <w:color w:val="000000" w:themeColor="text1"/>
          <w:szCs w:val="24"/>
        </w:rPr>
        <w:t xml:space="preserve"> that single-parent households, in particular those with children with disabilities, heavily depend on the availability of formal care services, since the daily informal care responsibilities in such households very often fall entirely on the shoulders of one parent. Women are at a greater disadvantage in this context since they make up almost 85% of one-parent households in the EU.</w:t>
      </w:r>
    </w:p>
    <w:p w:rsidR="00237C0C" w:rsidRDefault="00237C0C" w:rsidP="00237C0C">
      <w:pPr>
        <w:ind w:left="567" w:right="360" w:hanging="567"/>
        <w:rPr>
          <w:color w:val="000000" w:themeColor="text1"/>
          <w:szCs w:val="24"/>
        </w:rPr>
      </w:pPr>
      <w:r>
        <w:rPr>
          <w:color w:val="000000" w:themeColor="text1"/>
          <w:szCs w:val="24"/>
        </w:rPr>
        <w:br w:type="page"/>
        <w:t>21.</w:t>
      </w:r>
      <w:r>
        <w:rPr>
          <w:color w:val="000000" w:themeColor="text1"/>
          <w:szCs w:val="24"/>
        </w:rPr>
        <w:tab/>
      </w:r>
      <w:r>
        <w:rPr>
          <w:b/>
          <w:bCs/>
          <w:color w:val="000000" w:themeColor="text1"/>
          <w:szCs w:val="24"/>
        </w:rPr>
        <w:t>RECALLING</w:t>
      </w:r>
      <w:r>
        <w:rPr>
          <w:color w:val="000000" w:themeColor="text1"/>
          <w:szCs w:val="24"/>
        </w:rPr>
        <w:t xml:space="preserve"> that the recently adopted Work-Life Balance Directive introduces carers' leave for workers when they need to care for a family member and provides the right for them to request flexible working arrangements. The implementation of this Directive should facilitate better reconciliation of work and family responsibilities for both women and men. </w:t>
      </w:r>
    </w:p>
    <w:p w:rsidR="00237C0C" w:rsidRDefault="00237C0C" w:rsidP="00237C0C">
      <w:pPr>
        <w:ind w:left="567" w:right="357" w:hanging="567"/>
        <w:rPr>
          <w:color w:val="000000" w:themeColor="text1"/>
          <w:szCs w:val="24"/>
        </w:rPr>
      </w:pPr>
      <w:proofErr w:type="gramStart"/>
      <w:r>
        <w:rPr>
          <w:color w:val="000000" w:themeColor="text1"/>
          <w:szCs w:val="24"/>
        </w:rPr>
        <w:t>22.</w:t>
      </w:r>
      <w:r>
        <w:rPr>
          <w:color w:val="000000" w:themeColor="text1"/>
          <w:szCs w:val="24"/>
        </w:rPr>
        <w:tab/>
      </w:r>
      <w:r>
        <w:rPr>
          <w:b/>
          <w:bCs/>
          <w:color w:val="000000" w:themeColor="text1"/>
          <w:szCs w:val="24"/>
        </w:rPr>
        <w:t>WELCOMING</w:t>
      </w:r>
      <w:r>
        <w:rPr>
          <w:color w:val="000000" w:themeColor="text1"/>
          <w:szCs w:val="24"/>
        </w:rPr>
        <w:t xml:space="preserve"> the research note on “Gender equality and long-term care at home”</w:t>
      </w:r>
      <w:r>
        <w:rPr>
          <w:rStyle w:val="Referencafusnote"/>
          <w:color w:val="000000" w:themeColor="text1"/>
          <w:szCs w:val="24"/>
        </w:rPr>
        <w:footnoteReference w:id="2"/>
      </w:r>
      <w:r>
        <w:rPr>
          <w:color w:val="000000" w:themeColor="text1"/>
          <w:szCs w:val="24"/>
        </w:rPr>
        <w:t xml:space="preserve"> prepared by the European Institute for Gender Equality (EIGE), which shows that the shortage of long-term care services puts the economic independence of women at risk, and that the need to provide informal long-term care can have an adverse impact on women's labour market participation, work-life balance, wellbeing and health.</w:t>
      </w:r>
      <w:proofErr w:type="gramEnd"/>
    </w:p>
    <w:p w:rsidR="00237C0C" w:rsidRDefault="00237C0C" w:rsidP="00237C0C">
      <w:pPr>
        <w:ind w:left="567" w:right="357" w:hanging="567"/>
        <w:rPr>
          <w:color w:val="000000" w:themeColor="text1"/>
          <w:szCs w:val="24"/>
        </w:rPr>
      </w:pPr>
      <w:proofErr w:type="gramStart"/>
      <w:r>
        <w:rPr>
          <w:color w:val="000000" w:themeColor="text1"/>
          <w:szCs w:val="24"/>
        </w:rPr>
        <w:t>23.</w:t>
      </w:r>
      <w:r>
        <w:rPr>
          <w:color w:val="000000" w:themeColor="text1"/>
          <w:szCs w:val="24"/>
        </w:rPr>
        <w:tab/>
      </w:r>
      <w:r>
        <w:rPr>
          <w:b/>
          <w:bCs/>
          <w:color w:val="000000" w:themeColor="text1"/>
          <w:szCs w:val="24"/>
        </w:rPr>
        <w:t xml:space="preserve">TAKING NOTE </w:t>
      </w:r>
      <w:r>
        <w:rPr>
          <w:color w:val="000000" w:themeColor="text1"/>
          <w:szCs w:val="24"/>
        </w:rPr>
        <w:t>of the outcome of the High Level Conference "Participation of women in the labour market - Benefit for society", held in Zagreb on 30-31 January 2020, which focused on the link between the employment rate of women and the various obstacles they face when entering or returning to the labour market, including especially the availability, quality and affordability of home-based long-term care.</w:t>
      </w:r>
      <w:proofErr w:type="gramEnd"/>
    </w:p>
    <w:p w:rsidR="009E1F8B" w:rsidRPr="008A53E4" w:rsidRDefault="009E1F8B" w:rsidP="009E1F8B">
      <w:pPr>
        <w:ind w:left="567" w:hanging="567"/>
        <w:rPr>
          <w:color w:val="000000" w:themeColor="text1"/>
          <w:szCs w:val="24"/>
        </w:rPr>
      </w:pPr>
      <w:r w:rsidRPr="008A53E4">
        <w:rPr>
          <w:color w:val="000000" w:themeColor="text1"/>
          <w:szCs w:val="24"/>
        </w:rPr>
        <w:t>24.</w:t>
      </w:r>
      <w:r w:rsidRPr="008A53E4">
        <w:rPr>
          <w:color w:val="000000" w:themeColor="text1"/>
          <w:szCs w:val="24"/>
        </w:rPr>
        <w:tab/>
      </w:r>
      <w:r w:rsidRPr="008A53E4">
        <w:rPr>
          <w:rFonts w:asciiTheme="majorBidi" w:hAnsiTheme="majorBidi" w:cstheme="majorBidi"/>
          <w:b/>
          <w:bCs/>
          <w:color w:val="212121"/>
          <w:szCs w:val="24"/>
        </w:rPr>
        <w:t>RECOGNIZING</w:t>
      </w:r>
      <w:r w:rsidRPr="008A53E4">
        <w:rPr>
          <w:rFonts w:asciiTheme="majorBidi" w:hAnsiTheme="majorBidi" w:cstheme="majorBidi"/>
          <w:color w:val="212121"/>
          <w:szCs w:val="24"/>
        </w:rPr>
        <w:t xml:space="preserve"> the </w:t>
      </w:r>
      <w:proofErr w:type="gramStart"/>
      <w:r w:rsidRPr="008A53E4">
        <w:rPr>
          <w:rFonts w:asciiTheme="majorBidi" w:hAnsiTheme="majorBidi" w:cstheme="majorBidi"/>
          <w:color w:val="212121"/>
          <w:szCs w:val="24"/>
        </w:rPr>
        <w:t>Commission’s</w:t>
      </w:r>
      <w:proofErr w:type="gramEnd"/>
      <w:r w:rsidRPr="008A53E4">
        <w:rPr>
          <w:rFonts w:asciiTheme="majorBidi" w:hAnsiTheme="majorBidi" w:cstheme="majorBidi"/>
          <w:color w:val="212121"/>
          <w:szCs w:val="24"/>
        </w:rPr>
        <w:t xml:space="preserve"> Gender Equality Strategy 2020-2025, which offers a comprehensive roadmap for action by the EU and, where appropriate, the Member States for advancing gender equality by means of specific actions and gender mainstreaming, with due regard to their respective competences and t</w:t>
      </w:r>
      <w:r>
        <w:rPr>
          <w:rFonts w:asciiTheme="majorBidi" w:hAnsiTheme="majorBidi" w:cstheme="majorBidi"/>
          <w:color w:val="212121"/>
          <w:szCs w:val="24"/>
        </w:rPr>
        <w:t>o</w:t>
      </w:r>
      <w:r w:rsidRPr="008A53E4">
        <w:rPr>
          <w:rFonts w:asciiTheme="majorBidi" w:hAnsiTheme="majorBidi" w:cstheme="majorBidi"/>
          <w:color w:val="212121"/>
          <w:szCs w:val="24"/>
        </w:rPr>
        <w:t xml:space="preserve"> specific national circumstances.</w:t>
      </w:r>
    </w:p>
    <w:p w:rsidR="00237C0C" w:rsidRDefault="00237C0C" w:rsidP="00237C0C">
      <w:pPr>
        <w:ind w:left="567" w:hanging="567"/>
        <w:rPr>
          <w:rFonts w:cstheme="minorBidi"/>
          <w:color w:val="000000" w:themeColor="text1"/>
          <w:szCs w:val="24"/>
        </w:rPr>
      </w:pPr>
      <w:r>
        <w:rPr>
          <w:color w:val="000000" w:themeColor="text1"/>
          <w:szCs w:val="24"/>
        </w:rPr>
        <w:t>25.</w:t>
      </w:r>
      <w:r>
        <w:rPr>
          <w:b/>
          <w:bCs/>
          <w:color w:val="000000" w:themeColor="text1"/>
          <w:szCs w:val="24"/>
        </w:rPr>
        <w:tab/>
        <w:t xml:space="preserve">NOTING </w:t>
      </w:r>
      <w:r>
        <w:rPr>
          <w:color w:val="000000" w:themeColor="text1"/>
          <w:szCs w:val="24"/>
        </w:rPr>
        <w:t>that the Covid-19 pandemic has disrupted the functioning of social and economic structures, including the long-term care sector, strongly affecting workers and care receivers, both women and men.</w:t>
      </w:r>
    </w:p>
    <w:p w:rsidR="00237C0C" w:rsidRDefault="00237C0C" w:rsidP="00237C0C">
      <w:pPr>
        <w:ind w:left="567" w:hanging="567"/>
        <w:rPr>
          <w:bCs/>
          <w:color w:val="000000" w:themeColor="text1"/>
          <w:szCs w:val="24"/>
        </w:rPr>
      </w:pPr>
      <w:r>
        <w:rPr>
          <w:color w:val="000000" w:themeColor="text1"/>
          <w:szCs w:val="24"/>
        </w:rPr>
        <w:t>26.</w:t>
      </w:r>
      <w:r>
        <w:rPr>
          <w:color w:val="000000" w:themeColor="text1"/>
          <w:szCs w:val="24"/>
        </w:rPr>
        <w:tab/>
      </w:r>
      <w:r>
        <w:rPr>
          <w:bCs/>
          <w:color w:val="000000" w:themeColor="text1"/>
          <w:szCs w:val="24"/>
        </w:rPr>
        <w:t xml:space="preserve">This </w:t>
      </w:r>
      <w:r w:rsidRPr="00E70E05">
        <w:rPr>
          <w:bCs/>
          <w:color w:val="000000" w:themeColor="text1"/>
          <w:szCs w:val="24"/>
        </w:rPr>
        <w:t>document</w:t>
      </w:r>
      <w:r>
        <w:rPr>
          <w:bCs/>
          <w:color w:val="000000" w:themeColor="text1"/>
          <w:szCs w:val="24"/>
        </w:rPr>
        <w:t xml:space="preserve"> builds on previous work and political commitments voiced by the European Parliament, the Council, the Commission and relevant stakeholders in this area, including the documents listed in Annex.</w:t>
      </w:r>
    </w:p>
    <w:p w:rsidR="00237C0C" w:rsidRDefault="00237C0C" w:rsidP="00E70E05">
      <w:pPr>
        <w:ind w:right="360"/>
        <w:rPr>
          <w:color w:val="000000" w:themeColor="text1"/>
          <w:szCs w:val="24"/>
        </w:rPr>
      </w:pPr>
      <w:r>
        <w:rPr>
          <w:b/>
          <w:color w:val="000000" w:themeColor="text1"/>
          <w:szCs w:val="24"/>
        </w:rPr>
        <w:br w:type="page"/>
      </w:r>
      <w:r w:rsidRPr="00E70E05">
        <w:rPr>
          <w:b/>
          <w:color w:val="000000" w:themeColor="text1"/>
          <w:szCs w:val="24"/>
        </w:rPr>
        <w:t>WE INVITE</w:t>
      </w:r>
      <w:r>
        <w:rPr>
          <w:b/>
          <w:bCs/>
          <w:color w:val="000000" w:themeColor="text1"/>
          <w:szCs w:val="24"/>
        </w:rPr>
        <w:t xml:space="preserve"> THE MEMBER STATES</w:t>
      </w:r>
      <w:r>
        <w:rPr>
          <w:color w:val="000000" w:themeColor="text1"/>
          <w:szCs w:val="24"/>
        </w:rPr>
        <w:t>,</w:t>
      </w:r>
      <w:r>
        <w:rPr>
          <w:b/>
          <w:bCs/>
          <w:color w:val="000000" w:themeColor="text1"/>
          <w:szCs w:val="24"/>
        </w:rPr>
        <w:t xml:space="preserve"> </w:t>
      </w:r>
      <w:r>
        <w:rPr>
          <w:color w:val="000000" w:themeColor="text1"/>
          <w:szCs w:val="24"/>
        </w:rPr>
        <w:t>in accordance with their competences and taking into account national circumstances and respecting the role and autonomy of the social partners, to:</w:t>
      </w:r>
    </w:p>
    <w:p w:rsidR="00237C0C" w:rsidRDefault="00237C0C" w:rsidP="00237C0C">
      <w:pPr>
        <w:ind w:left="567" w:right="357" w:hanging="567"/>
        <w:rPr>
          <w:color w:val="000000" w:themeColor="text1"/>
          <w:szCs w:val="24"/>
        </w:rPr>
      </w:pPr>
      <w:r>
        <w:rPr>
          <w:color w:val="000000" w:themeColor="text1"/>
          <w:szCs w:val="24"/>
        </w:rPr>
        <w:t>27.</w:t>
      </w:r>
      <w:r>
        <w:rPr>
          <w:b/>
          <w:bCs/>
          <w:color w:val="000000" w:themeColor="text1"/>
          <w:szCs w:val="24"/>
        </w:rPr>
        <w:tab/>
      </w:r>
      <w:r>
        <w:rPr>
          <w:color w:val="000000" w:themeColor="text1"/>
          <w:szCs w:val="24"/>
        </w:rPr>
        <w:t xml:space="preserve">Consider developing comprehensive long-term care strategies that also address the issues raised in </w:t>
      </w:r>
      <w:r w:rsidRPr="00E70E05">
        <w:rPr>
          <w:color w:val="000000" w:themeColor="text1"/>
          <w:szCs w:val="24"/>
        </w:rPr>
        <w:t>this document</w:t>
      </w:r>
      <w:r>
        <w:rPr>
          <w:color w:val="000000" w:themeColor="text1"/>
          <w:szCs w:val="24"/>
        </w:rPr>
        <w:t>, involving all relevant stakeholders.</w:t>
      </w:r>
    </w:p>
    <w:p w:rsidR="00237C0C" w:rsidRDefault="00237C0C" w:rsidP="00237C0C">
      <w:pPr>
        <w:ind w:left="567" w:right="357" w:hanging="567"/>
        <w:rPr>
          <w:color w:val="000000" w:themeColor="text1"/>
          <w:szCs w:val="24"/>
        </w:rPr>
      </w:pPr>
      <w:proofErr w:type="gramStart"/>
      <w:r>
        <w:rPr>
          <w:color w:val="000000" w:themeColor="text1"/>
          <w:szCs w:val="24"/>
        </w:rPr>
        <w:t>28.</w:t>
      </w:r>
      <w:r>
        <w:rPr>
          <w:color w:val="000000" w:themeColor="text1"/>
          <w:szCs w:val="24"/>
        </w:rPr>
        <w:tab/>
        <w:t>Taking into account projected future needs and supply, take stock of all long-term care services and associated social protection available at the national level and, where relevant, improve existing measures or introduce new ones, with a view to the provision of services that are of good quality, adequate, comprehensive, accessible and affordable, including health and social services and adequate social protection covering long-term care.</w:t>
      </w:r>
      <w:proofErr w:type="gramEnd"/>
      <w:r>
        <w:rPr>
          <w:color w:val="000000" w:themeColor="text1"/>
          <w:szCs w:val="24"/>
        </w:rPr>
        <w:t xml:space="preserve"> </w:t>
      </w:r>
    </w:p>
    <w:p w:rsidR="00237C0C" w:rsidRDefault="00237C0C" w:rsidP="00237C0C">
      <w:pPr>
        <w:ind w:left="567" w:right="357" w:hanging="567"/>
        <w:rPr>
          <w:color w:val="000000" w:themeColor="text1"/>
          <w:szCs w:val="24"/>
        </w:rPr>
      </w:pPr>
      <w:r>
        <w:rPr>
          <w:color w:val="000000" w:themeColor="text1"/>
          <w:szCs w:val="24"/>
        </w:rPr>
        <w:t>29.</w:t>
      </w:r>
      <w:r>
        <w:rPr>
          <w:color w:val="000000" w:themeColor="text1"/>
          <w:szCs w:val="24"/>
        </w:rPr>
        <w:tab/>
        <w:t xml:space="preserve">Further promote independent living by providing appropriate residential communities, personal assistance and quality home-based and community-based care and improve their availability, affordability and accessibility, while recognising that independent living can and </w:t>
      </w:r>
      <w:proofErr w:type="gramStart"/>
      <w:r>
        <w:rPr>
          <w:color w:val="000000" w:themeColor="text1"/>
          <w:szCs w:val="24"/>
        </w:rPr>
        <w:t>should also</w:t>
      </w:r>
      <w:proofErr w:type="gramEnd"/>
      <w:r>
        <w:rPr>
          <w:color w:val="000000" w:themeColor="text1"/>
          <w:szCs w:val="24"/>
        </w:rPr>
        <w:t xml:space="preserve"> be promoted in all forms of residential care.</w:t>
      </w:r>
    </w:p>
    <w:p w:rsidR="00237C0C" w:rsidRDefault="00237C0C" w:rsidP="00237C0C">
      <w:pPr>
        <w:ind w:left="567" w:right="357" w:hanging="567"/>
        <w:rPr>
          <w:color w:val="000000" w:themeColor="text1"/>
          <w:szCs w:val="24"/>
        </w:rPr>
      </w:pPr>
      <w:r>
        <w:rPr>
          <w:color w:val="000000" w:themeColor="text1"/>
          <w:szCs w:val="24"/>
        </w:rPr>
        <w:t>30.</w:t>
      </w:r>
      <w:r>
        <w:rPr>
          <w:color w:val="000000" w:themeColor="text1"/>
          <w:szCs w:val="24"/>
        </w:rPr>
        <w:tab/>
        <w:t xml:space="preserve">Raise awareness among relevant stakeholders, with the participation of the social partners, of the fact that offering family-friendly working arrangements to both women and men contributes to the higher satisfaction, well-being and productivity of workers, thus improving sustainability and competitiveness in the </w:t>
      </w:r>
      <w:proofErr w:type="gramStart"/>
      <w:r>
        <w:rPr>
          <w:color w:val="000000" w:themeColor="text1"/>
          <w:szCs w:val="24"/>
        </w:rPr>
        <w:t>long run</w:t>
      </w:r>
      <w:proofErr w:type="gramEnd"/>
      <w:r>
        <w:rPr>
          <w:color w:val="000000" w:themeColor="text1"/>
          <w:szCs w:val="24"/>
        </w:rPr>
        <w:t>.</w:t>
      </w:r>
    </w:p>
    <w:p w:rsidR="00237C0C" w:rsidRDefault="00237C0C" w:rsidP="00237C0C">
      <w:pPr>
        <w:ind w:left="567" w:right="357" w:hanging="567"/>
        <w:rPr>
          <w:color w:val="000000" w:themeColor="text1"/>
          <w:szCs w:val="24"/>
        </w:rPr>
      </w:pPr>
      <w:r>
        <w:rPr>
          <w:color w:val="000000" w:themeColor="text1"/>
          <w:szCs w:val="24"/>
        </w:rPr>
        <w:t>31.</w:t>
      </w:r>
      <w:r>
        <w:rPr>
          <w:color w:val="000000" w:themeColor="text1"/>
          <w:szCs w:val="24"/>
        </w:rPr>
        <w:tab/>
        <w:t xml:space="preserve">Strengthen the efforts to boost women’s participation and gender equality in the labour market by promoting equal sharing of care and household responsibilities between women and men and by supporting the equal take-up of parental and carers’ leave by women and men. </w:t>
      </w:r>
    </w:p>
    <w:p w:rsidR="00237C0C" w:rsidRDefault="00237C0C" w:rsidP="00237C0C">
      <w:pPr>
        <w:ind w:left="567" w:right="357" w:hanging="567"/>
        <w:rPr>
          <w:color w:val="000000" w:themeColor="text1"/>
          <w:szCs w:val="24"/>
        </w:rPr>
      </w:pPr>
      <w:r>
        <w:rPr>
          <w:color w:val="000000" w:themeColor="text1"/>
          <w:szCs w:val="24"/>
        </w:rPr>
        <w:t>32.</w:t>
      </w:r>
      <w:r>
        <w:rPr>
          <w:color w:val="000000" w:themeColor="text1"/>
          <w:szCs w:val="24"/>
        </w:rPr>
        <w:tab/>
        <w:t xml:space="preserve">Promote the economic empowerment of women and men by mainstreaming the make-work-pay approach. </w:t>
      </w:r>
    </w:p>
    <w:p w:rsidR="00237C0C" w:rsidRDefault="00237C0C" w:rsidP="00237C0C">
      <w:pPr>
        <w:ind w:left="567" w:right="357" w:hanging="567"/>
        <w:rPr>
          <w:color w:val="000000" w:themeColor="text1"/>
          <w:szCs w:val="24"/>
        </w:rPr>
      </w:pPr>
      <w:r>
        <w:rPr>
          <w:color w:val="000000" w:themeColor="text1"/>
          <w:szCs w:val="24"/>
        </w:rPr>
        <w:t xml:space="preserve">33. </w:t>
      </w:r>
      <w:r>
        <w:rPr>
          <w:color w:val="000000" w:themeColor="text1"/>
          <w:szCs w:val="24"/>
        </w:rPr>
        <w:tab/>
        <w:t>Improve the recognition of the value of unpaid work and its contribution to society and economic growth.</w:t>
      </w:r>
    </w:p>
    <w:p w:rsidR="00237C0C" w:rsidRDefault="00237C0C" w:rsidP="00237C0C">
      <w:pPr>
        <w:ind w:left="567" w:right="357" w:hanging="567"/>
        <w:rPr>
          <w:color w:val="000000" w:themeColor="text1"/>
          <w:szCs w:val="24"/>
        </w:rPr>
      </w:pPr>
      <w:r>
        <w:rPr>
          <w:color w:val="000000" w:themeColor="text1"/>
          <w:szCs w:val="24"/>
        </w:rPr>
        <w:br w:type="page"/>
        <w:t>34.</w:t>
      </w:r>
      <w:r>
        <w:rPr>
          <w:color w:val="000000" w:themeColor="text1"/>
          <w:szCs w:val="24"/>
        </w:rPr>
        <w:tab/>
        <w:t xml:space="preserve">Address the employment and skills needs within the formal care services sector, including by improving working conditions, including, where appropriate, labour rights, health and safety, pay, social protection, and investing in the training of persons providing long-term care, including home-based care and community-based care. Explore how digitalisation </w:t>
      </w:r>
      <w:proofErr w:type="gramStart"/>
      <w:r>
        <w:rPr>
          <w:color w:val="000000" w:themeColor="text1"/>
          <w:szCs w:val="24"/>
        </w:rPr>
        <w:t>can be better integrated</w:t>
      </w:r>
      <w:proofErr w:type="gramEnd"/>
      <w:r>
        <w:rPr>
          <w:color w:val="000000" w:themeColor="text1"/>
          <w:szCs w:val="24"/>
        </w:rPr>
        <w:t xml:space="preserve"> into formal care, for example, by fostering the development of the accessibility and delivery of services using new technologies.</w:t>
      </w:r>
    </w:p>
    <w:p w:rsidR="00237C0C" w:rsidRDefault="00237C0C" w:rsidP="00237C0C">
      <w:pPr>
        <w:ind w:left="567" w:right="357" w:hanging="567"/>
        <w:rPr>
          <w:color w:val="000000" w:themeColor="text1"/>
          <w:szCs w:val="24"/>
        </w:rPr>
      </w:pPr>
      <w:r>
        <w:rPr>
          <w:color w:val="000000" w:themeColor="text1"/>
          <w:szCs w:val="24"/>
        </w:rPr>
        <w:t>35.</w:t>
      </w:r>
      <w:r>
        <w:rPr>
          <w:b/>
          <w:bCs/>
          <w:color w:val="000000" w:themeColor="text1"/>
          <w:szCs w:val="24"/>
        </w:rPr>
        <w:tab/>
      </w:r>
      <w:r>
        <w:rPr>
          <w:bCs/>
          <w:color w:val="000000" w:themeColor="text1"/>
          <w:szCs w:val="24"/>
          <w:shd w:val="clear" w:color="auto" w:fill="FFFFFF"/>
          <w:lang w:eastAsia="lv-LV"/>
        </w:rPr>
        <w:t>Adopt policies and take action to remove any risk of violence faced by recipients and providers of long-term care services, who are often women.</w:t>
      </w:r>
      <w:r>
        <w:rPr>
          <w:color w:val="000000" w:themeColor="text1"/>
          <w:szCs w:val="24"/>
        </w:rPr>
        <w:t xml:space="preserve"> </w:t>
      </w:r>
    </w:p>
    <w:p w:rsidR="00237C0C" w:rsidRDefault="00237C0C" w:rsidP="00237C0C">
      <w:pPr>
        <w:ind w:left="567" w:right="357" w:hanging="567"/>
        <w:rPr>
          <w:color w:val="000000" w:themeColor="text1"/>
          <w:szCs w:val="24"/>
        </w:rPr>
      </w:pPr>
      <w:r>
        <w:rPr>
          <w:color w:val="000000" w:themeColor="text1"/>
          <w:szCs w:val="24"/>
        </w:rPr>
        <w:t>36.</w:t>
      </w:r>
      <w:r>
        <w:rPr>
          <w:b/>
          <w:bCs/>
          <w:color w:val="000000" w:themeColor="text1"/>
          <w:szCs w:val="24"/>
        </w:rPr>
        <w:tab/>
      </w:r>
      <w:r>
        <w:rPr>
          <w:color w:val="000000" w:themeColor="text1"/>
          <w:szCs w:val="24"/>
        </w:rPr>
        <w:t>Take measures to mitigate occupational gender segregation, both horizontal and vertical, and to address its causes and effects, including by taking steps to increase the representation of men in the care sector, especially by providing educational and career opportunities and by raising awareness about such opportunities as well as about the societal and economic importance of the care sector.</w:t>
      </w:r>
    </w:p>
    <w:p w:rsidR="00237C0C" w:rsidRDefault="00237C0C" w:rsidP="00237C0C">
      <w:pPr>
        <w:ind w:left="567" w:right="357" w:hanging="567"/>
        <w:rPr>
          <w:color w:val="000000" w:themeColor="text1"/>
          <w:szCs w:val="24"/>
        </w:rPr>
      </w:pPr>
      <w:r>
        <w:rPr>
          <w:color w:val="000000" w:themeColor="text1"/>
          <w:szCs w:val="24"/>
        </w:rPr>
        <w:t>37.</w:t>
      </w:r>
      <w:r>
        <w:rPr>
          <w:b/>
          <w:bCs/>
          <w:color w:val="000000" w:themeColor="text1"/>
          <w:szCs w:val="24"/>
        </w:rPr>
        <w:tab/>
      </w:r>
      <w:r>
        <w:rPr>
          <w:color w:val="000000" w:themeColor="text1"/>
          <w:szCs w:val="24"/>
        </w:rPr>
        <w:t>Strengthen investments to improve the provision of care services and ensure an adequate and skilled workforce and appropriate infrastructure, including through requesting support from EU funds.</w:t>
      </w:r>
    </w:p>
    <w:p w:rsidR="00237C0C" w:rsidRDefault="00237C0C" w:rsidP="00237C0C">
      <w:pPr>
        <w:ind w:left="567" w:right="357" w:hanging="567"/>
        <w:rPr>
          <w:color w:val="000000" w:themeColor="text1"/>
          <w:szCs w:val="24"/>
        </w:rPr>
      </w:pPr>
      <w:r>
        <w:rPr>
          <w:color w:val="000000" w:themeColor="text1"/>
          <w:szCs w:val="24"/>
        </w:rPr>
        <w:t>38.</w:t>
      </w:r>
      <w:r>
        <w:rPr>
          <w:color w:val="000000" w:themeColor="text1"/>
          <w:szCs w:val="24"/>
        </w:rPr>
        <w:tab/>
        <w:t>As appropriate, recognise the rights and responsibilities of informal carers and establish support measures for them.</w:t>
      </w:r>
    </w:p>
    <w:p w:rsidR="00237C0C" w:rsidRDefault="00237C0C" w:rsidP="00237C0C">
      <w:pPr>
        <w:ind w:right="360"/>
        <w:rPr>
          <w:b/>
          <w:bCs/>
          <w:color w:val="000000" w:themeColor="text1"/>
          <w:szCs w:val="24"/>
        </w:rPr>
      </w:pPr>
      <w:r w:rsidRPr="00E70E05">
        <w:rPr>
          <w:b/>
          <w:color w:val="000000" w:themeColor="text1"/>
          <w:szCs w:val="24"/>
        </w:rPr>
        <w:t>WE CALL</w:t>
      </w:r>
      <w:r>
        <w:rPr>
          <w:b/>
          <w:color w:val="000000" w:themeColor="text1"/>
          <w:szCs w:val="24"/>
        </w:rPr>
        <w:t xml:space="preserve"> ON THE MEMBER STATES AND THE EUROPEAN COMMISSION</w:t>
      </w:r>
      <w:r>
        <w:rPr>
          <w:b/>
          <w:bCs/>
          <w:color w:val="000000" w:themeColor="text1"/>
          <w:szCs w:val="24"/>
        </w:rPr>
        <w:t>, in accordance with their respective competences, to:</w:t>
      </w:r>
    </w:p>
    <w:p w:rsidR="00237C0C" w:rsidRDefault="00237C0C" w:rsidP="00237C0C">
      <w:pPr>
        <w:ind w:left="567" w:right="360" w:hanging="567"/>
        <w:rPr>
          <w:color w:val="000000" w:themeColor="text1"/>
          <w:szCs w:val="24"/>
        </w:rPr>
      </w:pPr>
      <w:r>
        <w:rPr>
          <w:bCs/>
          <w:color w:val="000000" w:themeColor="text1"/>
          <w:szCs w:val="24"/>
        </w:rPr>
        <w:t>39.</w:t>
      </w:r>
      <w:r>
        <w:rPr>
          <w:bCs/>
          <w:color w:val="000000" w:themeColor="text1"/>
          <w:szCs w:val="24"/>
        </w:rPr>
        <w:tab/>
        <w:t>Step up efforts to challenge and eliminate stereotypical assumptions</w:t>
      </w:r>
      <w:r>
        <w:rPr>
          <w:b/>
          <w:color w:val="000000" w:themeColor="text1"/>
          <w:szCs w:val="24"/>
        </w:rPr>
        <w:t xml:space="preserve"> </w:t>
      </w:r>
      <w:r>
        <w:rPr>
          <w:bCs/>
          <w:color w:val="000000" w:themeColor="text1"/>
          <w:szCs w:val="24"/>
        </w:rPr>
        <w:t>with a view to promoting equal sharing of care responsibilities by men and women, for example through awareness raising, media campaigns and education.</w:t>
      </w:r>
    </w:p>
    <w:p w:rsidR="00237C0C" w:rsidRDefault="00237C0C" w:rsidP="00237C0C">
      <w:pPr>
        <w:ind w:left="567" w:right="360" w:hanging="567"/>
        <w:rPr>
          <w:bCs/>
          <w:color w:val="000000" w:themeColor="text1"/>
          <w:szCs w:val="24"/>
        </w:rPr>
      </w:pPr>
      <w:r>
        <w:rPr>
          <w:color w:val="000000" w:themeColor="text1"/>
          <w:szCs w:val="24"/>
        </w:rPr>
        <w:t>40.</w:t>
      </w:r>
      <w:r>
        <w:rPr>
          <w:color w:val="000000" w:themeColor="text1"/>
          <w:szCs w:val="24"/>
        </w:rPr>
        <w:tab/>
        <w:t xml:space="preserve">Promote gender equality in the workplace, </w:t>
      </w:r>
      <w:r>
        <w:rPr>
          <w:bCs/>
          <w:color w:val="000000" w:themeColor="text1"/>
          <w:szCs w:val="24"/>
        </w:rPr>
        <w:t xml:space="preserve">including by introducing measures that help all </w:t>
      </w:r>
      <w:proofErr w:type="gramStart"/>
      <w:r>
        <w:rPr>
          <w:bCs/>
          <w:color w:val="000000" w:themeColor="text1"/>
          <w:szCs w:val="24"/>
        </w:rPr>
        <w:t>workers  to</w:t>
      </w:r>
      <w:proofErr w:type="gramEnd"/>
      <w:r>
        <w:rPr>
          <w:bCs/>
          <w:color w:val="000000" w:themeColor="text1"/>
          <w:szCs w:val="24"/>
        </w:rPr>
        <w:t xml:space="preserve"> reconcile work, family and private life. </w:t>
      </w:r>
    </w:p>
    <w:p w:rsidR="00237C0C" w:rsidRDefault="00237C0C" w:rsidP="00237C0C">
      <w:pPr>
        <w:ind w:left="567" w:right="357" w:hanging="567"/>
        <w:rPr>
          <w:bCs/>
          <w:color w:val="000000" w:themeColor="text1"/>
          <w:szCs w:val="24"/>
        </w:rPr>
      </w:pPr>
      <w:r>
        <w:rPr>
          <w:bCs/>
          <w:color w:val="000000" w:themeColor="text1"/>
          <w:szCs w:val="24"/>
        </w:rPr>
        <w:t>41.</w:t>
      </w:r>
      <w:r>
        <w:rPr>
          <w:bCs/>
          <w:color w:val="000000" w:themeColor="text1"/>
          <w:szCs w:val="24"/>
        </w:rPr>
        <w:tab/>
        <w:t>Foster the exchange of best practice at the local, national and EU level and promote mutual learning between Member States.</w:t>
      </w:r>
    </w:p>
    <w:p w:rsidR="00237C0C" w:rsidRDefault="00237C0C" w:rsidP="00237C0C">
      <w:pPr>
        <w:ind w:left="567" w:right="360" w:hanging="567"/>
        <w:rPr>
          <w:bCs/>
          <w:color w:val="000000" w:themeColor="text1"/>
          <w:szCs w:val="24"/>
        </w:rPr>
      </w:pPr>
      <w:r>
        <w:rPr>
          <w:bCs/>
          <w:color w:val="000000" w:themeColor="text1"/>
          <w:szCs w:val="24"/>
        </w:rPr>
        <w:br w:type="page"/>
        <w:t>42.</w:t>
      </w:r>
      <w:r>
        <w:rPr>
          <w:bCs/>
          <w:color w:val="000000" w:themeColor="text1"/>
          <w:szCs w:val="24"/>
        </w:rPr>
        <w:tab/>
      </w:r>
      <w:r>
        <w:rPr>
          <w:color w:val="000000" w:themeColor="text1"/>
          <w:szCs w:val="24"/>
        </w:rPr>
        <w:t>Step up efforts to promote gender mainstreaming in all policy areas, including areas related to employment, healthcare and social policy. Include</w:t>
      </w:r>
      <w:r>
        <w:rPr>
          <w:bCs/>
          <w:color w:val="000000" w:themeColor="text1"/>
          <w:szCs w:val="24"/>
        </w:rPr>
        <w:t xml:space="preserve"> gender mainstreaming in key debates and processes shaping the future of the European Union, for example, by integrating it into high-level debates and political documents in different areas and emphasising the link between gender equality, inclusive economic growth and sustainable development. </w:t>
      </w:r>
    </w:p>
    <w:p w:rsidR="00237C0C" w:rsidRDefault="00237C0C" w:rsidP="00237C0C">
      <w:pPr>
        <w:ind w:left="567" w:right="360" w:hanging="567"/>
        <w:rPr>
          <w:color w:val="000000" w:themeColor="text1"/>
          <w:szCs w:val="24"/>
        </w:rPr>
      </w:pPr>
      <w:proofErr w:type="gramStart"/>
      <w:r>
        <w:rPr>
          <w:color w:val="000000" w:themeColor="text1"/>
          <w:szCs w:val="24"/>
        </w:rPr>
        <w:t>43.</w:t>
      </w:r>
      <w:r>
        <w:rPr>
          <w:color w:val="000000" w:themeColor="text1"/>
          <w:szCs w:val="24"/>
        </w:rPr>
        <w:tab/>
        <w:t xml:space="preserve">Develop and improve the collection of relevant data, disaggregated by sex and age, as well as by disability where appropriate, making full use of existing data sources and expertise, including Eurostat, EIGE, </w:t>
      </w:r>
      <w:proofErr w:type="spellStart"/>
      <w:r>
        <w:rPr>
          <w:color w:val="000000" w:themeColor="text1"/>
          <w:szCs w:val="24"/>
        </w:rPr>
        <w:t>Eurofound</w:t>
      </w:r>
      <w:proofErr w:type="spellEnd"/>
      <w:r>
        <w:rPr>
          <w:color w:val="000000" w:themeColor="text1"/>
          <w:szCs w:val="24"/>
        </w:rPr>
        <w:t xml:space="preserve"> and the Fundamental Rights Agency and national statistics, and building upon the work in this context of international organisations such as the Council of Europe, ILO and WHO.</w:t>
      </w:r>
      <w:proofErr w:type="gramEnd"/>
      <w:r>
        <w:rPr>
          <w:color w:val="000000" w:themeColor="text1"/>
          <w:szCs w:val="24"/>
        </w:rPr>
        <w:t xml:space="preserve"> Seek to make all relevant statistics widely available. The statistics should allow the measuring and monitoring of formal and informal care work, and of long-term care needs and supply.</w:t>
      </w:r>
    </w:p>
    <w:p w:rsidR="00237C0C" w:rsidRDefault="00237C0C" w:rsidP="00237C0C">
      <w:pPr>
        <w:ind w:left="567" w:right="360" w:hanging="567"/>
        <w:rPr>
          <w:color w:val="000000" w:themeColor="text1"/>
          <w:szCs w:val="24"/>
        </w:rPr>
      </w:pPr>
      <w:r>
        <w:rPr>
          <w:color w:val="000000" w:themeColor="text1"/>
          <w:szCs w:val="24"/>
        </w:rPr>
        <w:t>44.</w:t>
      </w:r>
      <w:r>
        <w:rPr>
          <w:color w:val="000000" w:themeColor="text1"/>
          <w:szCs w:val="24"/>
        </w:rPr>
        <w:tab/>
      </w:r>
      <w:r>
        <w:rPr>
          <w:iCs/>
          <w:color w:val="000000" w:themeColor="text1"/>
          <w:szCs w:val="24"/>
        </w:rPr>
        <w:t>Take action to mitigate the impact of the Covid-19 pandemic on care receivers, including the elderly, and on workers, and on society and the economy at large, including the long-term care sector.</w:t>
      </w:r>
    </w:p>
    <w:p w:rsidR="00237C0C" w:rsidRDefault="00237C0C" w:rsidP="00237C0C">
      <w:pPr>
        <w:rPr>
          <w:b/>
          <w:bCs/>
          <w:color w:val="000000" w:themeColor="text1"/>
          <w:szCs w:val="24"/>
        </w:rPr>
      </w:pPr>
      <w:r w:rsidRPr="00E70E05">
        <w:rPr>
          <w:b/>
          <w:bCs/>
          <w:color w:val="000000" w:themeColor="text1"/>
          <w:szCs w:val="24"/>
        </w:rPr>
        <w:t>WE CALL</w:t>
      </w:r>
      <w:r>
        <w:rPr>
          <w:b/>
          <w:bCs/>
          <w:color w:val="000000" w:themeColor="text1"/>
          <w:szCs w:val="24"/>
        </w:rPr>
        <w:t xml:space="preserve"> ON THE EUROPEAN COMMISSION to:</w:t>
      </w:r>
    </w:p>
    <w:p w:rsidR="00237C0C" w:rsidRDefault="00237C0C" w:rsidP="00237C0C">
      <w:pPr>
        <w:ind w:left="567" w:hanging="567"/>
        <w:rPr>
          <w:bCs/>
          <w:color w:val="000000" w:themeColor="text1"/>
          <w:szCs w:val="24"/>
        </w:rPr>
      </w:pPr>
      <w:r>
        <w:rPr>
          <w:color w:val="000000" w:themeColor="text1"/>
          <w:szCs w:val="24"/>
        </w:rPr>
        <w:t>45.</w:t>
      </w:r>
      <w:r>
        <w:rPr>
          <w:color w:val="000000" w:themeColor="text1"/>
          <w:szCs w:val="24"/>
        </w:rPr>
        <w:tab/>
        <w:t xml:space="preserve">Support Member States in their efforts to increase women's participation in the labour market, promote gender equality, and invest additional efforts into </w:t>
      </w:r>
      <w:proofErr w:type="gramStart"/>
      <w:r>
        <w:rPr>
          <w:bCs/>
          <w:color w:val="000000" w:themeColor="text1"/>
          <w:szCs w:val="24"/>
        </w:rPr>
        <w:t>awareness-raising</w:t>
      </w:r>
      <w:proofErr w:type="gramEnd"/>
      <w:r>
        <w:rPr>
          <w:bCs/>
          <w:color w:val="000000" w:themeColor="text1"/>
          <w:szCs w:val="24"/>
        </w:rPr>
        <w:t xml:space="preserve"> about the obstacles and challenges women face.</w:t>
      </w:r>
    </w:p>
    <w:p w:rsidR="00237C0C" w:rsidRDefault="00237C0C" w:rsidP="00237C0C">
      <w:pPr>
        <w:ind w:left="567" w:hanging="567"/>
        <w:rPr>
          <w:color w:val="000000" w:themeColor="text1"/>
          <w:szCs w:val="24"/>
        </w:rPr>
      </w:pPr>
      <w:proofErr w:type="gramStart"/>
      <w:r>
        <w:rPr>
          <w:color w:val="000000" w:themeColor="text1"/>
          <w:szCs w:val="24"/>
        </w:rPr>
        <w:t>46.</w:t>
      </w:r>
      <w:r>
        <w:rPr>
          <w:color w:val="000000" w:themeColor="text1"/>
          <w:szCs w:val="24"/>
        </w:rPr>
        <w:tab/>
        <w:t>Support Member States in improving the provision of quality long-term care services and other measures for tackling obstacles to the participation of women in the labour market, including by promoting the exchange of best practice and measures to improve working conditions in the care sector, in order to better acknowledge and value  the work carried out by professional and non-professional carers.</w:t>
      </w:r>
      <w:proofErr w:type="gramEnd"/>
      <w:r>
        <w:rPr>
          <w:color w:val="000000" w:themeColor="text1"/>
          <w:szCs w:val="24"/>
        </w:rPr>
        <w:t xml:space="preserve"> </w:t>
      </w:r>
    </w:p>
    <w:p w:rsidR="00237C0C" w:rsidRDefault="00237C0C" w:rsidP="00237C0C">
      <w:pPr>
        <w:ind w:left="567" w:hanging="567"/>
        <w:rPr>
          <w:color w:val="000000" w:themeColor="text1"/>
          <w:szCs w:val="24"/>
        </w:rPr>
      </w:pPr>
      <w:r>
        <w:rPr>
          <w:color w:val="000000" w:themeColor="text1"/>
          <w:szCs w:val="24"/>
        </w:rPr>
        <w:t>47.</w:t>
      </w:r>
      <w:r>
        <w:rPr>
          <w:b/>
          <w:bCs/>
          <w:color w:val="000000" w:themeColor="text1"/>
          <w:szCs w:val="24"/>
        </w:rPr>
        <w:tab/>
      </w:r>
      <w:r>
        <w:rPr>
          <w:color w:val="000000" w:themeColor="text1"/>
          <w:szCs w:val="24"/>
        </w:rPr>
        <w:t xml:space="preserve">Consult the social partners on the possible direction of Union action to improve working conditions for professional </w:t>
      </w:r>
      <w:proofErr w:type="spellStart"/>
      <w:r>
        <w:rPr>
          <w:color w:val="000000" w:themeColor="text1"/>
          <w:szCs w:val="24"/>
        </w:rPr>
        <w:t>carers</w:t>
      </w:r>
      <w:proofErr w:type="spellEnd"/>
      <w:r>
        <w:rPr>
          <w:color w:val="000000" w:themeColor="text1"/>
          <w:szCs w:val="24"/>
        </w:rPr>
        <w:t>, with a view to closing the gap between the supply and demand for formal quality long-term care in Member States.</w:t>
      </w:r>
    </w:p>
    <w:p w:rsidR="00237C0C" w:rsidRDefault="00237C0C" w:rsidP="00237C0C">
      <w:pPr>
        <w:rPr>
          <w:b/>
          <w:bCs/>
        </w:rPr>
      </w:pPr>
      <w:r>
        <w:br w:type="page"/>
      </w:r>
      <w:r w:rsidRPr="00E70E05">
        <w:rPr>
          <w:b/>
          <w:bCs/>
        </w:rPr>
        <w:t>WE CALL ON</w:t>
      </w:r>
      <w:r>
        <w:rPr>
          <w:b/>
          <w:bCs/>
        </w:rPr>
        <w:t xml:space="preserve"> THE EMPLOYMENT COMMITTEE AND THE SOCIAL PROTECTION COMMITTEE to:</w:t>
      </w:r>
    </w:p>
    <w:p w:rsidR="00237C0C" w:rsidRDefault="00237C0C" w:rsidP="00237C0C">
      <w:pPr>
        <w:ind w:left="567" w:right="360" w:hanging="567"/>
        <w:rPr>
          <w:bCs/>
          <w:color w:val="000000" w:themeColor="text1"/>
          <w:szCs w:val="24"/>
        </w:rPr>
      </w:pPr>
      <w:r>
        <w:rPr>
          <w:bCs/>
          <w:color w:val="000000" w:themeColor="text1"/>
          <w:szCs w:val="24"/>
        </w:rPr>
        <w:t>48.</w:t>
      </w:r>
      <w:r>
        <w:rPr>
          <w:bCs/>
          <w:color w:val="000000" w:themeColor="text1"/>
          <w:szCs w:val="24"/>
        </w:rPr>
        <w:tab/>
        <w:t>C</w:t>
      </w:r>
      <w:r>
        <w:rPr>
          <w:rStyle w:val="st"/>
          <w:bCs/>
          <w:color w:val="000000" w:themeColor="text1"/>
          <w:szCs w:val="24"/>
        </w:rPr>
        <w:t>ontribute to the improvement of the design and to the implementation of long-term care policies by f</w:t>
      </w:r>
      <w:r>
        <w:rPr>
          <w:bCs/>
          <w:color w:val="000000" w:themeColor="text1"/>
          <w:szCs w:val="24"/>
        </w:rPr>
        <w:t>ostering the exchange of best practice and promoting mutual learning between Member States and other relevant stakeholders such as the social partners.</w:t>
      </w:r>
    </w:p>
    <w:p w:rsidR="00237C0C" w:rsidRDefault="00237C0C" w:rsidP="00237C0C">
      <w:pPr>
        <w:ind w:left="567" w:right="360" w:hanging="567"/>
        <w:rPr>
          <w:bCs/>
          <w:color w:val="000000" w:themeColor="text1"/>
          <w:szCs w:val="24"/>
        </w:rPr>
      </w:pPr>
      <w:r>
        <w:rPr>
          <w:bCs/>
          <w:color w:val="000000" w:themeColor="text1"/>
          <w:szCs w:val="24"/>
        </w:rPr>
        <w:t>49.</w:t>
      </w:r>
      <w:r>
        <w:rPr>
          <w:bCs/>
          <w:color w:val="000000" w:themeColor="text1"/>
          <w:szCs w:val="24"/>
        </w:rPr>
        <w:tab/>
        <w:t>Continue developing common sex-disaggregated indicators to monitor and assess progress towards common objectives in order to adjust policies and actions related to the access to, and the availability,</w:t>
      </w:r>
      <w:r>
        <w:rPr>
          <w:b/>
          <w:color w:val="000000" w:themeColor="text1"/>
          <w:szCs w:val="24"/>
        </w:rPr>
        <w:t xml:space="preserve"> </w:t>
      </w:r>
      <w:r>
        <w:rPr>
          <w:bCs/>
          <w:color w:val="000000" w:themeColor="text1"/>
          <w:szCs w:val="24"/>
        </w:rPr>
        <w:t>quality, affordability and sustainability of, long-term care, as well as its impact on the gender gaps in the labour market, taking into account national contexts and specificities.</w:t>
      </w:r>
    </w:p>
    <w:p w:rsidR="00237C0C" w:rsidRDefault="00237C0C" w:rsidP="00237C0C">
      <w:pPr>
        <w:rPr>
          <w:b/>
          <w:color w:val="000000" w:themeColor="text1"/>
          <w:szCs w:val="24"/>
        </w:rPr>
      </w:pPr>
      <w:r w:rsidRPr="00E70E05">
        <w:rPr>
          <w:b/>
          <w:color w:val="000000" w:themeColor="text1"/>
          <w:szCs w:val="24"/>
        </w:rPr>
        <w:t>WE CALL ON</w:t>
      </w:r>
      <w:r>
        <w:rPr>
          <w:b/>
          <w:color w:val="000000" w:themeColor="text1"/>
          <w:szCs w:val="24"/>
        </w:rPr>
        <w:t xml:space="preserve"> THE EUROPEAN COMMISSION AND THE SOCIAL PROTECTION COMMITTEE to:</w:t>
      </w:r>
    </w:p>
    <w:p w:rsidR="00237C0C" w:rsidRDefault="00237C0C" w:rsidP="00237C0C">
      <w:pPr>
        <w:ind w:left="567" w:hanging="567"/>
        <w:rPr>
          <w:color w:val="000000" w:themeColor="text1"/>
          <w:szCs w:val="24"/>
        </w:rPr>
      </w:pPr>
      <w:r>
        <w:rPr>
          <w:color w:val="000000" w:themeColor="text1"/>
          <w:szCs w:val="24"/>
        </w:rPr>
        <w:t>50.</w:t>
      </w:r>
      <w:r>
        <w:rPr>
          <w:color w:val="000000" w:themeColor="text1"/>
          <w:szCs w:val="24"/>
        </w:rPr>
        <w:tab/>
        <w:t xml:space="preserve">Integrate the issues raised in </w:t>
      </w:r>
      <w:r w:rsidRPr="00E70E05">
        <w:rPr>
          <w:color w:val="000000" w:themeColor="text1"/>
          <w:szCs w:val="24"/>
        </w:rPr>
        <w:t>this document</w:t>
      </w:r>
      <w:r>
        <w:rPr>
          <w:color w:val="000000" w:themeColor="text1"/>
          <w:szCs w:val="24"/>
        </w:rPr>
        <w:t xml:space="preserve"> in the forthcoming Joint SPC-EC Report on Long-Term Care (2021).</w:t>
      </w:r>
    </w:p>
    <w:p w:rsidR="00AA1BAD" w:rsidRPr="00250D16" w:rsidRDefault="00AA1BAD" w:rsidP="00AA1BAD">
      <w:pPr>
        <w:jc w:val="center"/>
        <w:rPr>
          <w:color w:val="000000" w:themeColor="text1"/>
          <w:szCs w:val="24"/>
        </w:rPr>
      </w:pPr>
      <w:r w:rsidRPr="00250D16">
        <w:rPr>
          <w:color w:val="000000" w:themeColor="text1"/>
          <w:szCs w:val="24"/>
        </w:rPr>
        <w:t>___________________</w:t>
      </w:r>
    </w:p>
    <w:p w:rsidR="008F35F8" w:rsidRPr="00250D16" w:rsidRDefault="008F35F8" w:rsidP="00AA1BAD">
      <w:pPr>
        <w:jc w:val="center"/>
        <w:rPr>
          <w:color w:val="000000" w:themeColor="text1"/>
          <w:szCs w:val="24"/>
        </w:rPr>
      </w:pPr>
    </w:p>
    <w:p w:rsidR="008F35F8" w:rsidRPr="00250D16" w:rsidRDefault="008F35F8" w:rsidP="00AA1BAD">
      <w:pPr>
        <w:jc w:val="center"/>
        <w:rPr>
          <w:color w:val="000000" w:themeColor="text1"/>
          <w:szCs w:val="24"/>
        </w:rPr>
        <w:sectPr w:rsidR="008F35F8" w:rsidRPr="00250D16" w:rsidSect="003F64A9">
          <w:headerReference w:type="even" r:id="rId15"/>
          <w:headerReference w:type="default" r:id="rId16"/>
          <w:footerReference w:type="even" r:id="rId17"/>
          <w:pgSz w:w="11907" w:h="16840" w:code="9"/>
          <w:pgMar w:top="1134" w:right="1134" w:bottom="1134" w:left="1134" w:header="567" w:footer="567" w:gutter="0"/>
          <w:cols w:space="708"/>
          <w:docGrid w:linePitch="360"/>
        </w:sectPr>
      </w:pPr>
    </w:p>
    <w:p w:rsidR="00237C0C" w:rsidRDefault="00237C0C" w:rsidP="00237C0C">
      <w:pPr>
        <w:pStyle w:val="Annex"/>
        <w:rPr>
          <w:color w:val="000000" w:themeColor="text1"/>
          <w:szCs w:val="24"/>
        </w:rPr>
      </w:pPr>
      <w:r>
        <w:rPr>
          <w:color w:val="000000" w:themeColor="text1"/>
          <w:szCs w:val="24"/>
        </w:rPr>
        <w:t>ANNEX</w:t>
      </w:r>
    </w:p>
    <w:p w:rsidR="00237C0C" w:rsidRDefault="00237C0C" w:rsidP="00237C0C">
      <w:pPr>
        <w:jc w:val="center"/>
        <w:rPr>
          <w:b/>
          <w:bCs/>
          <w:color w:val="000000" w:themeColor="text1"/>
          <w:szCs w:val="24"/>
        </w:rPr>
      </w:pPr>
      <w:r>
        <w:rPr>
          <w:b/>
          <w:bCs/>
          <w:color w:val="000000" w:themeColor="text1"/>
          <w:szCs w:val="24"/>
        </w:rPr>
        <w:t>References</w:t>
      </w:r>
    </w:p>
    <w:p w:rsidR="00237C0C" w:rsidRDefault="00237C0C" w:rsidP="00237C0C">
      <w:pPr>
        <w:spacing w:line="240" w:lineRule="auto"/>
        <w:ind w:left="567" w:hanging="567"/>
        <w:rPr>
          <w:b/>
          <w:color w:val="000000" w:themeColor="text1"/>
          <w:szCs w:val="24"/>
        </w:rPr>
      </w:pPr>
      <w:r>
        <w:rPr>
          <w:b/>
          <w:color w:val="000000" w:themeColor="text1"/>
          <w:szCs w:val="24"/>
        </w:rPr>
        <w:t>1.</w:t>
      </w:r>
      <w:r>
        <w:rPr>
          <w:b/>
          <w:color w:val="000000" w:themeColor="text1"/>
          <w:szCs w:val="24"/>
        </w:rPr>
        <w:tab/>
        <w:t>EU interinstitutional</w:t>
      </w:r>
    </w:p>
    <w:p w:rsidR="00237C0C" w:rsidRDefault="00237C0C" w:rsidP="00237C0C">
      <w:pPr>
        <w:spacing w:line="240" w:lineRule="auto"/>
        <w:ind w:left="567"/>
        <w:rPr>
          <w:rStyle w:val="Hiperveza"/>
          <w:bCs/>
          <w:color w:val="000000" w:themeColor="text1"/>
        </w:rPr>
      </w:pPr>
      <w:r>
        <w:rPr>
          <w:color w:val="000000" w:themeColor="text1"/>
          <w:szCs w:val="24"/>
        </w:rPr>
        <w:t>European Pillar of Social Rights</w:t>
      </w:r>
      <w:r>
        <w:rPr>
          <w:color w:val="000000" w:themeColor="text1"/>
          <w:szCs w:val="24"/>
        </w:rPr>
        <w:br/>
      </w:r>
      <w:hyperlink r:id="rId18" w:history="1">
        <w:r>
          <w:rPr>
            <w:rStyle w:val="Hiperveza"/>
            <w:bCs/>
            <w:color w:val="000000" w:themeColor="text1"/>
            <w:szCs w:val="24"/>
          </w:rPr>
          <w:t>https://ec.europa.eu/commission/sites/beta-political/files/social-summit-european-pillar-social-rights-booklet_en.pdf</w:t>
        </w:r>
      </w:hyperlink>
    </w:p>
    <w:p w:rsidR="00237C0C" w:rsidRDefault="00237C0C" w:rsidP="00237C0C">
      <w:pPr>
        <w:spacing w:line="240" w:lineRule="auto"/>
        <w:ind w:left="567"/>
      </w:pPr>
    </w:p>
    <w:p w:rsidR="00237C0C" w:rsidRDefault="00237C0C" w:rsidP="00237C0C">
      <w:pPr>
        <w:spacing w:line="240" w:lineRule="auto"/>
        <w:ind w:left="567" w:hanging="567"/>
        <w:rPr>
          <w:b/>
          <w:color w:val="000000" w:themeColor="text1"/>
          <w:szCs w:val="24"/>
        </w:rPr>
      </w:pPr>
      <w:r>
        <w:rPr>
          <w:b/>
          <w:color w:val="000000" w:themeColor="text1"/>
          <w:szCs w:val="24"/>
        </w:rPr>
        <w:t>2.</w:t>
      </w:r>
      <w:r>
        <w:rPr>
          <w:b/>
          <w:color w:val="000000" w:themeColor="text1"/>
          <w:szCs w:val="24"/>
        </w:rPr>
        <w:tab/>
        <w:t>EU legislation</w:t>
      </w:r>
    </w:p>
    <w:p w:rsidR="00237C0C" w:rsidRDefault="00237C0C" w:rsidP="00237C0C">
      <w:pPr>
        <w:spacing w:line="240" w:lineRule="auto"/>
        <w:ind w:left="567"/>
        <w:rPr>
          <w:color w:val="000000" w:themeColor="text1"/>
          <w:szCs w:val="24"/>
        </w:rPr>
      </w:pPr>
      <w:r>
        <w:rPr>
          <w:color w:val="000000" w:themeColor="text1"/>
          <w:szCs w:val="24"/>
        </w:rPr>
        <w:t>Council Directive 2004/113/EC of 13 December 2004 implementing the principle of equal treatment between men and women in the access to and supply of goods and services. OJ L 373, 21.12.2004, p. 37–43.</w:t>
      </w:r>
    </w:p>
    <w:p w:rsidR="00237C0C" w:rsidRDefault="00237C0C" w:rsidP="00237C0C">
      <w:pPr>
        <w:spacing w:line="240" w:lineRule="auto"/>
        <w:ind w:left="567"/>
        <w:rPr>
          <w:rStyle w:val="Istaknuto"/>
          <w:b/>
          <w:bCs/>
          <w:i w:val="0"/>
          <w:iCs w:val="0"/>
        </w:rPr>
      </w:pPr>
      <w:r>
        <w:rPr>
          <w:color w:val="000000" w:themeColor="text1"/>
          <w:szCs w:val="24"/>
        </w:rPr>
        <w:t>Directive 2006/54/EC of the European Parliament and of the Council of 5 July 2006 on the implementation of the principle of equal opportunities and equal treatment of men and women in matters of employment and occupation (recast) (</w:t>
      </w:r>
      <w:r>
        <w:rPr>
          <w:rStyle w:val="Istaknuto"/>
          <w:color w:val="000000" w:themeColor="text1"/>
          <w:szCs w:val="24"/>
        </w:rPr>
        <w:t>OJ L 204, 26.7.2006, p. 23–36).</w:t>
      </w:r>
    </w:p>
    <w:p w:rsidR="00237C0C" w:rsidRDefault="00237C0C" w:rsidP="00237C0C">
      <w:pPr>
        <w:spacing w:line="240" w:lineRule="auto"/>
        <w:ind w:left="567"/>
      </w:pPr>
      <w:r>
        <w:rPr>
          <w:color w:val="000000" w:themeColor="text1"/>
          <w:szCs w:val="24"/>
        </w:rPr>
        <w:t>Directive (EU) 2019/1158 of the European Parliament and of the Council of 20 June 2019 on work-life balance for parents and carers and repealing Council Directive 2010/18/EU (OJ L 188, 12.7.2019, p. 79–93).</w:t>
      </w:r>
    </w:p>
    <w:p w:rsidR="00237C0C" w:rsidRDefault="00237C0C" w:rsidP="00237C0C">
      <w:pPr>
        <w:spacing w:line="240" w:lineRule="auto"/>
        <w:ind w:left="567"/>
        <w:rPr>
          <w:color w:val="000000" w:themeColor="text1"/>
          <w:szCs w:val="24"/>
        </w:rPr>
      </w:pPr>
    </w:p>
    <w:p w:rsidR="00237C0C" w:rsidRDefault="00237C0C" w:rsidP="00237C0C">
      <w:pPr>
        <w:spacing w:line="240" w:lineRule="auto"/>
        <w:ind w:left="567" w:hanging="567"/>
        <w:rPr>
          <w:b/>
          <w:color w:val="000000" w:themeColor="text1"/>
          <w:szCs w:val="24"/>
        </w:rPr>
      </w:pPr>
      <w:r>
        <w:rPr>
          <w:b/>
          <w:color w:val="000000" w:themeColor="text1"/>
          <w:szCs w:val="24"/>
        </w:rPr>
        <w:t>3.</w:t>
      </w:r>
      <w:r>
        <w:rPr>
          <w:b/>
          <w:color w:val="000000" w:themeColor="text1"/>
          <w:szCs w:val="24"/>
        </w:rPr>
        <w:tab/>
        <w:t>Council</w:t>
      </w:r>
    </w:p>
    <w:p w:rsidR="00237C0C" w:rsidRDefault="00237C0C" w:rsidP="00237C0C">
      <w:pPr>
        <w:spacing w:line="240" w:lineRule="auto"/>
        <w:ind w:left="567"/>
        <w:rPr>
          <w:color w:val="000000" w:themeColor="text1"/>
          <w:szCs w:val="24"/>
        </w:rPr>
      </w:pPr>
      <w:r>
        <w:rPr>
          <w:color w:val="000000" w:themeColor="text1"/>
          <w:szCs w:val="24"/>
        </w:rPr>
        <w:t>All Council Conclusions on gender equality and other relevant subjects, including especially those cited below:</w:t>
      </w:r>
    </w:p>
    <w:p w:rsidR="00237C0C" w:rsidRDefault="00237C0C" w:rsidP="00237C0C">
      <w:pPr>
        <w:widowControl w:val="0"/>
        <w:suppressAutoHyphens/>
        <w:spacing w:line="240" w:lineRule="auto"/>
        <w:ind w:left="1134" w:hanging="567"/>
        <w:rPr>
          <w:color w:val="000000" w:themeColor="text1"/>
          <w:szCs w:val="24"/>
        </w:rPr>
      </w:pPr>
      <w:r>
        <w:rPr>
          <w:color w:val="000000" w:themeColor="text1"/>
          <w:szCs w:val="24"/>
        </w:rPr>
        <w:t>-</w:t>
      </w:r>
      <w:r>
        <w:rPr>
          <w:color w:val="000000" w:themeColor="text1"/>
          <w:szCs w:val="24"/>
        </w:rPr>
        <w:tab/>
        <w:t>Council Conclusions on Women and the Economy: Reconciliation of work and family life as a precondition for equal participation in the labour market (</w:t>
      </w:r>
      <w:hyperlink r:id="rId19" w:history="1">
        <w:r w:rsidRPr="003F3DAE">
          <w:rPr>
            <w:rStyle w:val="Hiperveza"/>
            <w:color w:val="000000" w:themeColor="text1"/>
            <w:szCs w:val="24"/>
            <w:u w:val="none"/>
          </w:rPr>
          <w:t>17816/11</w:t>
        </w:r>
      </w:hyperlink>
      <w:r w:rsidRPr="003F3DAE">
        <w:rPr>
          <w:rStyle w:val="Hiperveza"/>
          <w:color w:val="000000" w:themeColor="text1"/>
          <w:szCs w:val="24"/>
          <w:u w:val="none"/>
        </w:rPr>
        <w:t>)</w:t>
      </w:r>
    </w:p>
    <w:p w:rsidR="00237C0C" w:rsidRDefault="00237C0C" w:rsidP="00237C0C">
      <w:pPr>
        <w:widowControl w:val="0"/>
        <w:suppressAutoHyphens/>
        <w:spacing w:line="240" w:lineRule="auto"/>
        <w:ind w:left="1134" w:hanging="567"/>
        <w:rPr>
          <w:color w:val="000000" w:themeColor="text1"/>
          <w:szCs w:val="24"/>
        </w:rPr>
      </w:pPr>
      <w:r>
        <w:rPr>
          <w:color w:val="000000" w:themeColor="text1"/>
          <w:szCs w:val="24"/>
        </w:rPr>
        <w:t>-</w:t>
      </w:r>
      <w:r>
        <w:rPr>
          <w:color w:val="000000" w:themeColor="text1"/>
          <w:szCs w:val="24"/>
        </w:rPr>
        <w:tab/>
        <w:t>Council Conclusions on Moving towards more inclusive labour markets (7017/15)</w:t>
      </w:r>
    </w:p>
    <w:p w:rsidR="00237C0C" w:rsidRDefault="00237C0C" w:rsidP="00237C0C">
      <w:pPr>
        <w:widowControl w:val="0"/>
        <w:suppressAutoHyphens/>
        <w:spacing w:line="240" w:lineRule="auto"/>
        <w:ind w:left="1134" w:hanging="567"/>
        <w:rPr>
          <w:bCs/>
          <w:color w:val="000000" w:themeColor="text1"/>
          <w:szCs w:val="24"/>
        </w:rPr>
      </w:pPr>
      <w:r>
        <w:rPr>
          <w:bCs/>
          <w:color w:val="000000" w:themeColor="text1"/>
          <w:szCs w:val="24"/>
        </w:rPr>
        <w:t>-</w:t>
      </w:r>
      <w:r>
        <w:rPr>
          <w:bCs/>
          <w:color w:val="000000" w:themeColor="text1"/>
          <w:szCs w:val="24"/>
        </w:rPr>
        <w:tab/>
      </w:r>
      <w:r>
        <w:rPr>
          <w:color w:val="000000" w:themeColor="text1"/>
          <w:szCs w:val="24"/>
        </w:rPr>
        <w:t>Council Conclusions on Enhancing the Skills of Women and Men in the EU Labour Market (6889/17)</w:t>
      </w:r>
    </w:p>
    <w:p w:rsidR="00237C0C" w:rsidRDefault="00237C0C" w:rsidP="00237C0C">
      <w:pPr>
        <w:widowControl w:val="0"/>
        <w:suppressAutoHyphens/>
        <w:spacing w:line="240" w:lineRule="auto"/>
        <w:ind w:left="1134" w:hanging="567"/>
        <w:rPr>
          <w:color w:val="000000" w:themeColor="text1"/>
          <w:szCs w:val="24"/>
        </w:rPr>
      </w:pPr>
      <w:r>
        <w:rPr>
          <w:color w:val="000000" w:themeColor="text1"/>
          <w:szCs w:val="24"/>
        </w:rPr>
        <w:t>-</w:t>
      </w:r>
      <w:r>
        <w:rPr>
          <w:color w:val="000000" w:themeColor="text1"/>
          <w:szCs w:val="24"/>
        </w:rPr>
        <w:tab/>
        <w:t>Council Conclusions on Enhanced measures to reduce horizontal gender segregation in education and employment (15468/17)</w:t>
      </w:r>
    </w:p>
    <w:p w:rsidR="00237C0C" w:rsidRDefault="00237C0C" w:rsidP="00237C0C">
      <w:pPr>
        <w:widowControl w:val="0"/>
        <w:suppressAutoHyphens/>
        <w:spacing w:line="240" w:lineRule="auto"/>
        <w:ind w:left="1134" w:hanging="567"/>
        <w:rPr>
          <w:bCs/>
          <w:color w:val="000000" w:themeColor="text1"/>
          <w:szCs w:val="24"/>
        </w:rPr>
      </w:pPr>
      <w:r>
        <w:rPr>
          <w:bCs/>
          <w:color w:val="000000" w:themeColor="text1"/>
          <w:szCs w:val="24"/>
        </w:rPr>
        <w:t>-</w:t>
      </w:r>
      <w:r>
        <w:rPr>
          <w:bCs/>
          <w:color w:val="000000" w:themeColor="text1"/>
          <w:szCs w:val="24"/>
        </w:rPr>
        <w:tab/>
        <w:t>Council Conclusions on Enhancing Community-based Support and Care for Independent Living (15563/17)</w:t>
      </w:r>
    </w:p>
    <w:p w:rsidR="00237C0C" w:rsidRDefault="00237C0C" w:rsidP="00237C0C">
      <w:pPr>
        <w:widowControl w:val="0"/>
        <w:suppressAutoHyphens/>
        <w:spacing w:line="240" w:lineRule="auto"/>
        <w:ind w:left="1134" w:hanging="567"/>
        <w:rPr>
          <w:color w:val="000000" w:themeColor="text1"/>
          <w:szCs w:val="24"/>
        </w:rPr>
      </w:pPr>
      <w:r>
        <w:rPr>
          <w:color w:val="000000" w:themeColor="text1"/>
          <w:szCs w:val="24"/>
        </w:rPr>
        <w:br w:type="page"/>
        <w:t>-</w:t>
      </w:r>
      <w:r>
        <w:rPr>
          <w:color w:val="000000" w:themeColor="text1"/>
          <w:szCs w:val="24"/>
        </w:rPr>
        <w:tab/>
        <w:t>Council Conclusions on Closing the Gender Pay Gap: Key Policies and Measures (10349/19)</w:t>
      </w:r>
    </w:p>
    <w:p w:rsidR="00237C0C" w:rsidRDefault="00237C0C" w:rsidP="00237C0C">
      <w:pPr>
        <w:spacing w:line="240" w:lineRule="auto"/>
        <w:ind w:left="567"/>
        <w:rPr>
          <w:color w:val="000000" w:themeColor="text1"/>
          <w:szCs w:val="24"/>
        </w:rPr>
      </w:pPr>
      <w:r>
        <w:rPr>
          <w:rFonts w:eastAsia="Calibri"/>
          <w:color w:val="000000" w:themeColor="text1"/>
          <w:szCs w:val="24"/>
        </w:rPr>
        <w:t>-</w:t>
      </w:r>
      <w:r>
        <w:rPr>
          <w:rFonts w:eastAsia="Calibri"/>
          <w:color w:val="000000" w:themeColor="text1"/>
          <w:szCs w:val="24"/>
        </w:rPr>
        <w:tab/>
        <w:t>Council Conclusions on the Economy of Wellbeing (13432/19)</w:t>
      </w:r>
    </w:p>
    <w:p w:rsidR="00237C0C" w:rsidRDefault="00237C0C" w:rsidP="00237C0C">
      <w:pPr>
        <w:widowControl w:val="0"/>
        <w:suppressAutoHyphens/>
        <w:spacing w:line="240" w:lineRule="auto"/>
        <w:ind w:left="1134" w:hanging="567"/>
        <w:rPr>
          <w:color w:val="000000" w:themeColor="text1"/>
          <w:szCs w:val="24"/>
        </w:rPr>
      </w:pPr>
      <w:r>
        <w:rPr>
          <w:color w:val="000000" w:themeColor="text1"/>
          <w:szCs w:val="24"/>
        </w:rPr>
        <w:t>-</w:t>
      </w:r>
      <w:r>
        <w:rPr>
          <w:color w:val="000000" w:themeColor="text1"/>
          <w:szCs w:val="24"/>
        </w:rPr>
        <w:tab/>
      </w:r>
      <w:r>
        <w:rPr>
          <w:bCs/>
          <w:color w:val="000000" w:themeColor="text1"/>
          <w:szCs w:val="24"/>
        </w:rPr>
        <w:t xml:space="preserve">Council Conclusions on </w:t>
      </w:r>
      <w:r>
        <w:rPr>
          <w:color w:val="000000" w:themeColor="text1"/>
          <w:szCs w:val="24"/>
        </w:rPr>
        <w:t>Gender-Equal Economies in the EU: The Way Forward: Taking Stock of 25 Years of Implementation of the Beijing Platform for Action (14938/19)</w:t>
      </w:r>
    </w:p>
    <w:p w:rsidR="00237C0C" w:rsidRDefault="00237C0C" w:rsidP="00237C0C">
      <w:pPr>
        <w:widowControl w:val="0"/>
        <w:suppressAutoHyphens/>
        <w:spacing w:line="240" w:lineRule="auto"/>
        <w:ind w:left="1134" w:hanging="567"/>
        <w:rPr>
          <w:color w:val="000000" w:themeColor="text1"/>
          <w:szCs w:val="24"/>
        </w:rPr>
      </w:pPr>
    </w:p>
    <w:p w:rsidR="00237C0C" w:rsidRDefault="00237C0C" w:rsidP="00237C0C">
      <w:pPr>
        <w:widowControl w:val="0"/>
        <w:suppressAutoHyphens/>
        <w:spacing w:line="240" w:lineRule="auto"/>
        <w:ind w:left="567" w:hanging="567"/>
        <w:rPr>
          <w:color w:val="000000" w:themeColor="text1"/>
          <w:szCs w:val="24"/>
        </w:rPr>
      </w:pPr>
      <w:r>
        <w:rPr>
          <w:b/>
          <w:color w:val="000000" w:themeColor="text1"/>
          <w:szCs w:val="24"/>
        </w:rPr>
        <w:t>4.</w:t>
      </w:r>
      <w:r>
        <w:rPr>
          <w:b/>
          <w:color w:val="000000" w:themeColor="text1"/>
          <w:szCs w:val="24"/>
        </w:rPr>
        <w:tab/>
        <w:t>Trio Presidency</w:t>
      </w:r>
    </w:p>
    <w:p w:rsidR="00237C0C" w:rsidRDefault="00237C0C" w:rsidP="00237C0C">
      <w:pPr>
        <w:spacing w:line="240" w:lineRule="auto"/>
        <w:ind w:left="567"/>
        <w:rPr>
          <w:color w:val="000000" w:themeColor="text1"/>
          <w:szCs w:val="24"/>
        </w:rPr>
      </w:pPr>
      <w:r>
        <w:rPr>
          <w:color w:val="000000" w:themeColor="text1"/>
          <w:szCs w:val="24"/>
        </w:rPr>
        <w:t>Trio Presidency Declaration on Gender Equality signed by Romania, Finland and Croatia (15 March 2019)</w:t>
      </w:r>
    </w:p>
    <w:p w:rsidR="00237C0C" w:rsidRDefault="00237C0C" w:rsidP="00237C0C">
      <w:pPr>
        <w:spacing w:line="240" w:lineRule="auto"/>
        <w:ind w:left="567"/>
        <w:rPr>
          <w:color w:val="000000" w:themeColor="text1"/>
          <w:szCs w:val="24"/>
        </w:rPr>
      </w:pPr>
      <w:r>
        <w:rPr>
          <w:color w:val="000000" w:themeColor="text1"/>
          <w:szCs w:val="24"/>
        </w:rPr>
        <w:t>Joint Declaration on “Gender Equality as a Priority of the European Union today and in the future”, proposed by the Austrian, Estonian and Bulgarian Trio Presidency, Informal Meeting of EU Gender Equality Ministers, 12 October 2018, Vienna</w:t>
      </w:r>
    </w:p>
    <w:p w:rsidR="00237C0C" w:rsidRDefault="00237C0C" w:rsidP="00237C0C">
      <w:pPr>
        <w:spacing w:line="240" w:lineRule="auto"/>
        <w:ind w:left="567"/>
        <w:rPr>
          <w:color w:val="000000" w:themeColor="text1"/>
          <w:szCs w:val="24"/>
        </w:rPr>
      </w:pPr>
    </w:p>
    <w:p w:rsidR="00237C0C" w:rsidRDefault="00237C0C" w:rsidP="00237C0C">
      <w:pPr>
        <w:widowControl w:val="0"/>
        <w:suppressAutoHyphens/>
        <w:spacing w:line="240" w:lineRule="auto"/>
        <w:ind w:left="567" w:hanging="567"/>
        <w:rPr>
          <w:b/>
          <w:color w:val="000000" w:themeColor="text1"/>
          <w:szCs w:val="24"/>
        </w:rPr>
      </w:pPr>
      <w:r>
        <w:rPr>
          <w:b/>
          <w:color w:val="000000" w:themeColor="text1"/>
          <w:szCs w:val="24"/>
        </w:rPr>
        <w:t>5.</w:t>
      </w:r>
      <w:r>
        <w:rPr>
          <w:b/>
          <w:color w:val="000000" w:themeColor="text1"/>
          <w:szCs w:val="24"/>
        </w:rPr>
        <w:tab/>
        <w:t>European Commission</w:t>
      </w:r>
    </w:p>
    <w:p w:rsidR="00237C0C" w:rsidRDefault="00237C0C" w:rsidP="00237C0C">
      <w:pPr>
        <w:spacing w:line="240" w:lineRule="auto"/>
        <w:ind w:left="567"/>
        <w:rPr>
          <w:color w:val="000000" w:themeColor="text1"/>
          <w:szCs w:val="24"/>
        </w:rPr>
      </w:pPr>
      <w:r>
        <w:rPr>
          <w:color w:val="000000" w:themeColor="text1"/>
          <w:szCs w:val="24"/>
        </w:rPr>
        <w:t>Commission Recommendation 2014/124/EU of 7 March 2014 on strengthening the principle of equal pay between men and women through transparency (OJ L 69, 8.3.2014, p. 112–116)</w:t>
      </w:r>
    </w:p>
    <w:p w:rsidR="00237C0C" w:rsidRDefault="00237C0C" w:rsidP="00237C0C">
      <w:pPr>
        <w:spacing w:line="240" w:lineRule="auto"/>
        <w:ind w:left="567"/>
        <w:rPr>
          <w:color w:val="000000" w:themeColor="text1"/>
          <w:szCs w:val="24"/>
        </w:rPr>
      </w:pPr>
      <w:r>
        <w:rPr>
          <w:color w:val="000000" w:themeColor="text1"/>
          <w:szCs w:val="24"/>
        </w:rPr>
        <w:t>Communication from the Commission of 26 April 2017: "An initiative to support work-life balance for working parents and carers" (</w:t>
      </w:r>
      <w:proofErr w:type="gramStart"/>
      <w:r>
        <w:rPr>
          <w:color w:val="000000" w:themeColor="text1"/>
          <w:szCs w:val="24"/>
        </w:rPr>
        <w:t>COM(</w:t>
      </w:r>
      <w:proofErr w:type="gramEnd"/>
      <w:r>
        <w:rPr>
          <w:color w:val="000000" w:themeColor="text1"/>
          <w:szCs w:val="24"/>
        </w:rPr>
        <w:t>2017) 252 final)</w:t>
      </w:r>
    </w:p>
    <w:p w:rsidR="00237C0C" w:rsidRDefault="00237C0C" w:rsidP="00237C0C">
      <w:pPr>
        <w:spacing w:line="240" w:lineRule="auto"/>
        <w:ind w:left="567"/>
        <w:rPr>
          <w:color w:val="000000" w:themeColor="text1"/>
          <w:szCs w:val="24"/>
        </w:rPr>
      </w:pPr>
      <w:r>
        <w:rPr>
          <w:color w:val="000000" w:themeColor="text1"/>
          <w:szCs w:val="24"/>
        </w:rPr>
        <w:t>EU Action Plan 2017-2019: Tackling the gender pay gap (</w:t>
      </w:r>
      <w:proofErr w:type="gramStart"/>
      <w:r>
        <w:rPr>
          <w:color w:val="000000" w:themeColor="text1"/>
          <w:szCs w:val="24"/>
        </w:rPr>
        <w:t>COM(</w:t>
      </w:r>
      <w:proofErr w:type="gramEnd"/>
      <w:r>
        <w:rPr>
          <w:color w:val="000000" w:themeColor="text1"/>
          <w:szCs w:val="24"/>
        </w:rPr>
        <w:t>2017) 678 final)</w:t>
      </w:r>
    </w:p>
    <w:p w:rsidR="00237C0C" w:rsidRDefault="00237C0C" w:rsidP="00237C0C">
      <w:pPr>
        <w:spacing w:line="240" w:lineRule="auto"/>
        <w:ind w:left="567"/>
        <w:rPr>
          <w:color w:val="000000" w:themeColor="text1"/>
          <w:szCs w:val="24"/>
        </w:rPr>
      </w:pPr>
      <w:r>
        <w:rPr>
          <w:color w:val="000000" w:themeColor="text1"/>
          <w:szCs w:val="24"/>
        </w:rPr>
        <w:t>Commission Staff Working Document. Strategic Engagement for Gender Equality 2016-2019. (14746/15)</w:t>
      </w:r>
    </w:p>
    <w:p w:rsidR="00237C0C" w:rsidRDefault="00237C0C" w:rsidP="00237C0C">
      <w:pPr>
        <w:spacing w:line="240" w:lineRule="auto"/>
        <w:ind w:left="567"/>
        <w:rPr>
          <w:color w:val="000000" w:themeColor="text1"/>
          <w:szCs w:val="24"/>
        </w:rPr>
      </w:pPr>
      <w:r>
        <w:rPr>
          <w:color w:val="000000" w:themeColor="text1"/>
          <w:szCs w:val="24"/>
        </w:rPr>
        <w:t>Report on the development of childcare facilities for young children with a view to increase female labour participation, strike a work-life balance for working parents and bring about sustainable and inclusive growth in Europe (the "Barcelona objectives") (COM(2018) 273 final)</w:t>
      </w:r>
    </w:p>
    <w:p w:rsidR="00237C0C" w:rsidRDefault="00237C0C" w:rsidP="00237C0C">
      <w:pPr>
        <w:spacing w:line="240" w:lineRule="auto"/>
        <w:ind w:left="567"/>
        <w:rPr>
          <w:color w:val="000000" w:themeColor="text1"/>
          <w:szCs w:val="24"/>
        </w:rPr>
      </w:pPr>
      <w:r>
        <w:rPr>
          <w:color w:val="000000" w:themeColor="text1"/>
          <w:szCs w:val="24"/>
        </w:rPr>
        <w:t>Commission Recommendation (EU) 2018/951 of 22 June 2018 on standards for equality bodies (OJ L 167, 4.7.2018, p. 28–35)</w:t>
      </w:r>
    </w:p>
    <w:p w:rsidR="00237C0C" w:rsidRDefault="00237C0C" w:rsidP="00237C0C">
      <w:pPr>
        <w:spacing w:line="240" w:lineRule="auto"/>
        <w:ind w:left="567"/>
        <w:rPr>
          <w:color w:val="000000" w:themeColor="text1"/>
          <w:szCs w:val="24"/>
        </w:rPr>
      </w:pPr>
      <w:r>
        <w:rPr>
          <w:color w:val="000000" w:themeColor="text1"/>
          <w:szCs w:val="24"/>
        </w:rPr>
        <w:t>Challenges in long-term care in Europe - A study of national policies 2018. European Social Policy Network.</w:t>
      </w:r>
    </w:p>
    <w:p w:rsidR="00237C0C" w:rsidRDefault="00237C0C" w:rsidP="00237C0C">
      <w:pPr>
        <w:spacing w:line="240" w:lineRule="auto"/>
        <w:ind w:left="567"/>
        <w:rPr>
          <w:color w:val="000000" w:themeColor="text1"/>
          <w:szCs w:val="24"/>
        </w:rPr>
      </w:pPr>
      <w:r>
        <w:rPr>
          <w:color w:val="000000" w:themeColor="text1"/>
          <w:szCs w:val="24"/>
        </w:rPr>
        <w:br w:type="page"/>
      </w:r>
      <w:proofErr w:type="gramStart"/>
      <w:r>
        <w:rPr>
          <w:color w:val="000000" w:themeColor="text1"/>
          <w:szCs w:val="24"/>
        </w:rPr>
        <w:t>2019</w:t>
      </w:r>
      <w:proofErr w:type="gramEnd"/>
      <w:r>
        <w:rPr>
          <w:color w:val="000000" w:themeColor="text1"/>
          <w:szCs w:val="24"/>
        </w:rPr>
        <w:t xml:space="preserve"> Report on equality between women and men in the European Union</w:t>
      </w:r>
    </w:p>
    <w:p w:rsidR="00237C0C" w:rsidRDefault="00CB1529" w:rsidP="00237C0C">
      <w:pPr>
        <w:spacing w:line="240" w:lineRule="auto"/>
        <w:ind w:left="567"/>
        <w:rPr>
          <w:color w:val="000000" w:themeColor="text1"/>
          <w:szCs w:val="24"/>
        </w:rPr>
      </w:pPr>
      <w:hyperlink r:id="rId20" w:history="1">
        <w:r w:rsidR="00237C0C">
          <w:rPr>
            <w:rStyle w:val="Hiperveza"/>
            <w:color w:val="000000" w:themeColor="text1"/>
            <w:szCs w:val="24"/>
          </w:rPr>
          <w:t>https://ec.europa.eu/info/sites/info/files/aid_development_cooperation_fundamental_rights/annual_report_ge_2019_en_0.pdf</w:t>
        </w:r>
      </w:hyperlink>
    </w:p>
    <w:p w:rsidR="00237C0C" w:rsidRDefault="00237C0C" w:rsidP="00237C0C">
      <w:pPr>
        <w:spacing w:line="240" w:lineRule="auto"/>
        <w:ind w:left="567"/>
        <w:rPr>
          <w:color w:val="000000" w:themeColor="text1"/>
          <w:szCs w:val="24"/>
        </w:rPr>
      </w:pPr>
      <w:r>
        <w:rPr>
          <w:color w:val="000000" w:themeColor="text1"/>
          <w:szCs w:val="24"/>
        </w:rPr>
        <w:t>Common European Guidelines on the Transition from Institutional to Community-based Care and Toolkit on the Use of European Union Funds for the Transition from Institutional to Community-based Care.</w:t>
      </w:r>
    </w:p>
    <w:p w:rsidR="00237C0C" w:rsidRDefault="00CB1529" w:rsidP="00237C0C">
      <w:pPr>
        <w:spacing w:line="240" w:lineRule="auto"/>
        <w:ind w:left="567"/>
        <w:rPr>
          <w:color w:val="000000" w:themeColor="text1"/>
          <w:szCs w:val="24"/>
        </w:rPr>
      </w:pPr>
      <w:hyperlink r:id="rId21" w:history="1">
        <w:r w:rsidR="00237C0C">
          <w:rPr>
            <w:rStyle w:val="Hiperveza"/>
            <w:color w:val="000000" w:themeColor="text1"/>
            <w:szCs w:val="24"/>
          </w:rPr>
          <w:t>https://ec.europa.eu/regional_policy/en/policy/themes/social-inclusion/desinstit/</w:t>
        </w:r>
      </w:hyperlink>
    </w:p>
    <w:p w:rsidR="00237C0C" w:rsidRDefault="00237C0C" w:rsidP="00237C0C">
      <w:pPr>
        <w:spacing w:line="240" w:lineRule="auto"/>
        <w:ind w:left="567"/>
        <w:rPr>
          <w:color w:val="000000" w:themeColor="text1"/>
          <w:szCs w:val="24"/>
        </w:rPr>
      </w:pPr>
      <w:r>
        <w:rPr>
          <w:color w:val="000000" w:themeColor="text1"/>
          <w:szCs w:val="24"/>
        </w:rPr>
        <w:t xml:space="preserve">Union of Equality: Gender Equality Strategy 2020-2025. 6678/20. (Commission reference: </w:t>
      </w:r>
      <w:proofErr w:type="gramStart"/>
      <w:r>
        <w:rPr>
          <w:color w:val="000000" w:themeColor="text1"/>
          <w:szCs w:val="24"/>
        </w:rPr>
        <w:t>COM(</w:t>
      </w:r>
      <w:proofErr w:type="gramEnd"/>
      <w:r>
        <w:rPr>
          <w:color w:val="000000" w:themeColor="text1"/>
          <w:szCs w:val="24"/>
        </w:rPr>
        <w:t>2020) 152 final.)</w:t>
      </w:r>
    </w:p>
    <w:p w:rsidR="00237C0C" w:rsidRDefault="00237C0C" w:rsidP="00237C0C">
      <w:pPr>
        <w:spacing w:line="240" w:lineRule="auto"/>
        <w:ind w:left="567"/>
        <w:rPr>
          <w:rFonts w:eastAsia="Times New Roman"/>
          <w:color w:val="000000" w:themeColor="text1"/>
          <w:szCs w:val="24"/>
          <w:lang w:eastAsia="fr-FR"/>
        </w:rPr>
      </w:pPr>
      <w:r>
        <w:rPr>
          <w:color w:val="000000" w:themeColor="text1"/>
          <w:szCs w:val="24"/>
        </w:rPr>
        <w:t>European Commission. Advisory Committee for Equal opportunities for women and men</w:t>
      </w:r>
      <w:r>
        <w:rPr>
          <w:rFonts w:eastAsia="Times New Roman"/>
          <w:color w:val="000000" w:themeColor="text1"/>
          <w:szCs w:val="24"/>
          <w:lang w:eastAsia="fr-FR"/>
        </w:rPr>
        <w:t xml:space="preserve"> - </w:t>
      </w:r>
      <w:r>
        <w:rPr>
          <w:rFonts w:eastAsia="Times New Roman"/>
          <w:i/>
          <w:color w:val="000000" w:themeColor="text1"/>
          <w:szCs w:val="24"/>
          <w:lang w:eastAsia="fr-FR"/>
        </w:rPr>
        <w:t xml:space="preserve">Opinion on challenges for gender equality in a rapidly ageing society, </w:t>
      </w:r>
      <w:r>
        <w:rPr>
          <w:rFonts w:eastAsia="Times New Roman"/>
          <w:color w:val="000000" w:themeColor="text1"/>
          <w:szCs w:val="24"/>
          <w:lang w:eastAsia="fr-FR"/>
        </w:rPr>
        <w:t>October 2019.</w:t>
      </w:r>
    </w:p>
    <w:p w:rsidR="00237C0C" w:rsidRDefault="00237C0C" w:rsidP="00237C0C">
      <w:pPr>
        <w:spacing w:line="240" w:lineRule="auto"/>
        <w:ind w:left="567"/>
        <w:rPr>
          <w:color w:val="000000" w:themeColor="text1"/>
          <w:szCs w:val="24"/>
        </w:rPr>
      </w:pPr>
      <w:r>
        <w:rPr>
          <w:rFonts w:eastAsia="Times New Roman"/>
          <w:color w:val="000000" w:themeColor="text1"/>
          <w:szCs w:val="24"/>
          <w:lang w:eastAsia="fr-FR"/>
        </w:rPr>
        <w:t xml:space="preserve">Communication on </w:t>
      </w:r>
      <w:proofErr w:type="gramStart"/>
      <w:r>
        <w:rPr>
          <w:color w:val="000000" w:themeColor="text1"/>
          <w:szCs w:val="24"/>
        </w:rPr>
        <w:t>A</w:t>
      </w:r>
      <w:proofErr w:type="gramEnd"/>
      <w:r>
        <w:rPr>
          <w:color w:val="000000" w:themeColor="text1"/>
          <w:szCs w:val="24"/>
        </w:rPr>
        <w:t xml:space="preserve"> Strong Social Europe for Just Transitions. (</w:t>
      </w:r>
      <w:proofErr w:type="gramStart"/>
      <w:r>
        <w:rPr>
          <w:color w:val="000000" w:themeColor="text1"/>
          <w:szCs w:val="24"/>
        </w:rPr>
        <w:t>COM(</w:t>
      </w:r>
      <w:proofErr w:type="gramEnd"/>
      <w:r>
        <w:rPr>
          <w:color w:val="000000" w:themeColor="text1"/>
          <w:szCs w:val="24"/>
        </w:rPr>
        <w:t xml:space="preserve">2020) 14 final.) </w:t>
      </w:r>
    </w:p>
    <w:p w:rsidR="00237C0C" w:rsidRDefault="00237C0C" w:rsidP="00237C0C">
      <w:pPr>
        <w:spacing w:line="240" w:lineRule="auto"/>
        <w:ind w:left="567"/>
        <w:rPr>
          <w:color w:val="000000" w:themeColor="text1"/>
          <w:szCs w:val="24"/>
        </w:rPr>
      </w:pPr>
    </w:p>
    <w:p w:rsidR="00237C0C" w:rsidRDefault="00237C0C" w:rsidP="00237C0C">
      <w:pPr>
        <w:spacing w:line="240" w:lineRule="auto"/>
        <w:ind w:left="567" w:hanging="567"/>
        <w:rPr>
          <w:b/>
          <w:color w:val="000000" w:themeColor="text1"/>
          <w:szCs w:val="24"/>
        </w:rPr>
      </w:pPr>
      <w:r>
        <w:rPr>
          <w:b/>
          <w:color w:val="000000" w:themeColor="text1"/>
          <w:szCs w:val="24"/>
        </w:rPr>
        <w:t>6.</w:t>
      </w:r>
      <w:r>
        <w:rPr>
          <w:b/>
          <w:color w:val="000000" w:themeColor="text1"/>
          <w:szCs w:val="24"/>
        </w:rPr>
        <w:tab/>
        <w:t>European Parliament</w:t>
      </w:r>
    </w:p>
    <w:p w:rsidR="00237C0C" w:rsidRDefault="00237C0C" w:rsidP="00237C0C">
      <w:pPr>
        <w:spacing w:line="240" w:lineRule="auto"/>
        <w:ind w:left="567"/>
        <w:rPr>
          <w:color w:val="000000" w:themeColor="text1"/>
          <w:szCs w:val="24"/>
        </w:rPr>
      </w:pPr>
      <w:r>
        <w:rPr>
          <w:color w:val="000000" w:themeColor="text1"/>
          <w:szCs w:val="24"/>
        </w:rPr>
        <w:t>Resolution of 14 March 2017 on equality between women and men in the European Union in 2014-2015 (P8_</w:t>
      </w:r>
      <w:proofErr w:type="gramStart"/>
      <w:r>
        <w:rPr>
          <w:color w:val="000000" w:themeColor="text1"/>
          <w:szCs w:val="24"/>
        </w:rPr>
        <w:t>TA(</w:t>
      </w:r>
      <w:proofErr w:type="gramEnd"/>
      <w:r>
        <w:rPr>
          <w:color w:val="000000" w:themeColor="text1"/>
          <w:szCs w:val="24"/>
        </w:rPr>
        <w:t>2017)0073</w:t>
      </w:r>
    </w:p>
    <w:p w:rsidR="00237C0C" w:rsidRDefault="00237C0C" w:rsidP="00237C0C">
      <w:pPr>
        <w:spacing w:line="240" w:lineRule="auto"/>
        <w:ind w:left="567"/>
        <w:rPr>
          <w:color w:val="000000" w:themeColor="text1"/>
          <w:szCs w:val="24"/>
        </w:rPr>
      </w:pPr>
      <w:r>
        <w:rPr>
          <w:color w:val="000000" w:themeColor="text1"/>
          <w:szCs w:val="24"/>
        </w:rPr>
        <w:t>Own initiative report on Care services in the EU for improved gender equality (2018/2077(INI))</w:t>
      </w:r>
    </w:p>
    <w:p w:rsidR="00237C0C" w:rsidRDefault="00237C0C" w:rsidP="00237C0C">
      <w:pPr>
        <w:spacing w:line="240" w:lineRule="auto"/>
        <w:ind w:left="567"/>
        <w:rPr>
          <w:color w:val="000000" w:themeColor="text1"/>
          <w:szCs w:val="24"/>
        </w:rPr>
      </w:pPr>
    </w:p>
    <w:p w:rsidR="00237C0C" w:rsidRDefault="00237C0C" w:rsidP="00237C0C">
      <w:pPr>
        <w:spacing w:line="240" w:lineRule="auto"/>
        <w:ind w:left="567" w:hanging="567"/>
        <w:rPr>
          <w:color w:val="000000" w:themeColor="text1"/>
          <w:szCs w:val="24"/>
        </w:rPr>
      </w:pPr>
      <w:bookmarkStart w:id="2" w:name="ControlPages"/>
      <w:bookmarkEnd w:id="2"/>
      <w:r>
        <w:rPr>
          <w:b/>
          <w:color w:val="000000" w:themeColor="text1"/>
          <w:szCs w:val="24"/>
        </w:rPr>
        <w:t>7.</w:t>
      </w:r>
      <w:r>
        <w:rPr>
          <w:b/>
          <w:color w:val="000000" w:themeColor="text1"/>
          <w:szCs w:val="24"/>
        </w:rPr>
        <w:tab/>
        <w:t>EIGE</w:t>
      </w:r>
    </w:p>
    <w:p w:rsidR="00237C0C" w:rsidRDefault="00237C0C" w:rsidP="00237C0C">
      <w:pPr>
        <w:spacing w:line="240" w:lineRule="auto"/>
        <w:ind w:left="1134" w:hanging="567"/>
        <w:rPr>
          <w:color w:val="000000" w:themeColor="text1"/>
          <w:szCs w:val="24"/>
        </w:rPr>
      </w:pPr>
      <w:r>
        <w:rPr>
          <w:color w:val="000000" w:themeColor="text1"/>
          <w:szCs w:val="24"/>
        </w:rPr>
        <w:t>"Gender equality and long-term care at home,”</w:t>
      </w:r>
      <w:r>
        <w:rPr>
          <w:i/>
          <w:iCs/>
          <w:color w:val="000000" w:themeColor="text1"/>
          <w:szCs w:val="24"/>
        </w:rPr>
        <w:t xml:space="preserve"> </w:t>
      </w:r>
      <w:r>
        <w:rPr>
          <w:color w:val="000000" w:themeColor="text1"/>
          <w:szCs w:val="24"/>
        </w:rPr>
        <w:t>2020. 7893/20 ADD 1.</w:t>
      </w:r>
      <w:r>
        <w:rPr>
          <w:color w:val="000000" w:themeColor="text1"/>
          <w:szCs w:val="24"/>
        </w:rPr>
        <w:tab/>
      </w:r>
    </w:p>
    <w:p w:rsidR="00237C0C" w:rsidRDefault="00237C0C" w:rsidP="00237C0C">
      <w:pPr>
        <w:spacing w:line="240" w:lineRule="auto"/>
        <w:ind w:left="1134" w:hanging="567"/>
        <w:rPr>
          <w:i/>
          <w:iCs/>
          <w:color w:val="000000" w:themeColor="text1"/>
          <w:szCs w:val="24"/>
        </w:rPr>
      </w:pPr>
      <w:r>
        <w:rPr>
          <w:color w:val="000000" w:themeColor="text1"/>
          <w:szCs w:val="24"/>
        </w:rPr>
        <w:t>"Gender segregation in education, training and the labour market," 2017. 12709/17 ADD 2 REV 1</w:t>
      </w:r>
    </w:p>
    <w:p w:rsidR="00237C0C" w:rsidRDefault="00237C0C" w:rsidP="00237C0C">
      <w:pPr>
        <w:spacing w:line="240" w:lineRule="auto"/>
        <w:ind w:left="1134" w:hanging="567"/>
        <w:rPr>
          <w:color w:val="000000" w:themeColor="text1"/>
          <w:szCs w:val="24"/>
        </w:rPr>
      </w:pPr>
      <w:r>
        <w:rPr>
          <w:color w:val="000000" w:themeColor="text1"/>
          <w:szCs w:val="24"/>
        </w:rPr>
        <w:t xml:space="preserve">"Poverty, gender and intersecting inequalities in the EU" 2016. </w:t>
      </w:r>
    </w:p>
    <w:p w:rsidR="00237C0C" w:rsidRDefault="00237C0C" w:rsidP="00237C0C">
      <w:pPr>
        <w:spacing w:line="240" w:lineRule="auto"/>
        <w:ind w:left="1134" w:hanging="567"/>
        <w:rPr>
          <w:i/>
          <w:iCs/>
          <w:color w:val="000000" w:themeColor="text1"/>
          <w:szCs w:val="24"/>
        </w:rPr>
      </w:pPr>
      <w:r>
        <w:rPr>
          <w:i/>
          <w:iCs/>
          <w:color w:val="000000" w:themeColor="text1"/>
          <w:szCs w:val="24"/>
        </w:rPr>
        <w:t>https://eige.europa.eu/publications/poverty-gender-and-intersecting-inequalities-in-the-eu</w:t>
      </w:r>
    </w:p>
    <w:p w:rsidR="00237C0C" w:rsidRDefault="00237C0C" w:rsidP="00237C0C">
      <w:pPr>
        <w:spacing w:line="240" w:lineRule="auto"/>
        <w:ind w:left="1134" w:hanging="567"/>
        <w:rPr>
          <w:i/>
          <w:iCs/>
          <w:color w:val="000000" w:themeColor="text1"/>
          <w:szCs w:val="24"/>
        </w:rPr>
      </w:pPr>
    </w:p>
    <w:p w:rsidR="00237C0C" w:rsidRDefault="00237C0C" w:rsidP="00237C0C">
      <w:pPr>
        <w:spacing w:line="240" w:lineRule="auto"/>
        <w:ind w:left="567" w:hanging="567"/>
        <w:rPr>
          <w:b/>
          <w:bCs/>
          <w:color w:val="000000" w:themeColor="text1"/>
          <w:szCs w:val="24"/>
        </w:rPr>
      </w:pPr>
      <w:r>
        <w:rPr>
          <w:b/>
          <w:bCs/>
          <w:color w:val="000000" w:themeColor="text1"/>
          <w:szCs w:val="24"/>
        </w:rPr>
        <w:t>8.</w:t>
      </w:r>
      <w:r>
        <w:rPr>
          <w:b/>
          <w:bCs/>
          <w:color w:val="000000" w:themeColor="text1"/>
          <w:szCs w:val="24"/>
        </w:rPr>
        <w:tab/>
      </w:r>
      <w:proofErr w:type="spellStart"/>
      <w:r>
        <w:rPr>
          <w:b/>
          <w:bCs/>
          <w:color w:val="000000" w:themeColor="text1"/>
          <w:szCs w:val="24"/>
        </w:rPr>
        <w:t>Eurofound</w:t>
      </w:r>
      <w:proofErr w:type="spellEnd"/>
    </w:p>
    <w:p w:rsidR="00237C0C" w:rsidRDefault="00237C0C" w:rsidP="00237C0C">
      <w:pPr>
        <w:spacing w:line="240" w:lineRule="auto"/>
        <w:ind w:left="567"/>
        <w:rPr>
          <w:bCs/>
          <w:color w:val="000000" w:themeColor="text1"/>
          <w:szCs w:val="24"/>
        </w:rPr>
      </w:pPr>
      <w:r>
        <w:rPr>
          <w:bCs/>
          <w:color w:val="000000" w:themeColor="text1"/>
          <w:szCs w:val="24"/>
        </w:rPr>
        <w:t xml:space="preserve">Striking a balance: Reconciling work and life in the EU, 2019. </w:t>
      </w:r>
      <w:hyperlink r:id="rId22" w:history="1">
        <w:r>
          <w:rPr>
            <w:rStyle w:val="Hiperveza"/>
            <w:color w:val="000000" w:themeColor="text1"/>
            <w:szCs w:val="24"/>
          </w:rPr>
          <w:t>https://www.eurofound.europa.eu/sites/default/files/ef_publication/field_ef_document/ef18065en.pdf</w:t>
        </w:r>
      </w:hyperlink>
    </w:p>
    <w:p w:rsidR="00237C0C" w:rsidRDefault="00237C0C" w:rsidP="00237C0C">
      <w:pPr>
        <w:spacing w:line="240" w:lineRule="auto"/>
        <w:rPr>
          <w:b/>
          <w:bCs/>
          <w:color w:val="000000" w:themeColor="text1"/>
          <w:szCs w:val="24"/>
        </w:rPr>
      </w:pPr>
      <w:r>
        <w:rPr>
          <w:b/>
          <w:bCs/>
          <w:color w:val="000000" w:themeColor="text1"/>
          <w:szCs w:val="24"/>
        </w:rPr>
        <w:br w:type="page"/>
        <w:t>9.</w:t>
      </w:r>
      <w:r>
        <w:rPr>
          <w:b/>
          <w:bCs/>
          <w:color w:val="000000" w:themeColor="text1"/>
          <w:szCs w:val="24"/>
        </w:rPr>
        <w:tab/>
        <w:t>European Economic and Social Committee</w:t>
      </w:r>
    </w:p>
    <w:p w:rsidR="00237C0C" w:rsidRDefault="00237C0C" w:rsidP="00237C0C">
      <w:pPr>
        <w:spacing w:line="240" w:lineRule="auto"/>
        <w:ind w:firstLine="567"/>
        <w:rPr>
          <w:color w:val="000000" w:themeColor="text1"/>
          <w:szCs w:val="24"/>
        </w:rPr>
      </w:pPr>
      <w:r>
        <w:rPr>
          <w:color w:val="000000" w:themeColor="text1"/>
          <w:szCs w:val="24"/>
        </w:rPr>
        <w:t>The impact of social investment on employment and public budgets (SOC 496/2013)</w:t>
      </w:r>
    </w:p>
    <w:p w:rsidR="00237C0C" w:rsidRDefault="00CB1529" w:rsidP="00237C0C">
      <w:pPr>
        <w:spacing w:line="240" w:lineRule="auto"/>
        <w:ind w:left="567"/>
        <w:rPr>
          <w:color w:val="000000" w:themeColor="text1"/>
          <w:szCs w:val="24"/>
        </w:rPr>
      </w:pPr>
      <w:hyperlink r:id="rId23" w:history="1">
        <w:r w:rsidR="00237C0C">
          <w:rPr>
            <w:rStyle w:val="Hiperveza"/>
            <w:color w:val="000000" w:themeColor="text1"/>
            <w:szCs w:val="24"/>
          </w:rPr>
          <w:t>https://www.eesc.europa.eu/en/our-work/opinions-information-reports/opinions/impact-social-investment-employment-and-public-budgets</w:t>
        </w:r>
      </w:hyperlink>
    </w:p>
    <w:p w:rsidR="00237C0C" w:rsidRDefault="00237C0C" w:rsidP="00237C0C">
      <w:pPr>
        <w:spacing w:line="240" w:lineRule="auto"/>
        <w:ind w:left="567" w:hanging="567"/>
        <w:rPr>
          <w:b/>
          <w:bCs/>
          <w:color w:val="000000" w:themeColor="text1"/>
          <w:szCs w:val="24"/>
        </w:rPr>
      </w:pPr>
      <w:r>
        <w:rPr>
          <w:b/>
          <w:bCs/>
          <w:color w:val="000000" w:themeColor="text1"/>
          <w:szCs w:val="24"/>
        </w:rPr>
        <w:t>10.</w:t>
      </w:r>
      <w:r>
        <w:rPr>
          <w:b/>
          <w:bCs/>
          <w:color w:val="000000" w:themeColor="text1"/>
          <w:szCs w:val="24"/>
        </w:rPr>
        <w:tab/>
        <w:t>Other</w:t>
      </w:r>
    </w:p>
    <w:p w:rsidR="00237C0C" w:rsidRDefault="00237C0C" w:rsidP="00237C0C">
      <w:pPr>
        <w:spacing w:line="240" w:lineRule="auto"/>
        <w:ind w:left="567"/>
        <w:rPr>
          <w:color w:val="000000" w:themeColor="text1"/>
          <w:szCs w:val="24"/>
        </w:rPr>
      </w:pPr>
      <w:r>
        <w:rPr>
          <w:color w:val="000000" w:themeColor="text1"/>
          <w:szCs w:val="24"/>
        </w:rPr>
        <w:t>The Beijing Declaration and Platform for Action (UN agenda for gender equality and women's empowerment)</w:t>
      </w:r>
    </w:p>
    <w:p w:rsidR="00237C0C" w:rsidRDefault="00237C0C" w:rsidP="00237C0C">
      <w:pPr>
        <w:spacing w:line="240" w:lineRule="auto"/>
        <w:ind w:left="567"/>
        <w:rPr>
          <w:color w:val="000000" w:themeColor="text1"/>
          <w:szCs w:val="24"/>
        </w:rPr>
      </w:pPr>
      <w:r>
        <w:rPr>
          <w:color w:val="000000" w:themeColor="text1"/>
          <w:szCs w:val="24"/>
        </w:rPr>
        <w:t xml:space="preserve">The UN Convention on the Elimination of all Forms of Discrimination </w:t>
      </w:r>
      <w:proofErr w:type="gramStart"/>
      <w:r>
        <w:rPr>
          <w:color w:val="000000" w:themeColor="text1"/>
          <w:szCs w:val="24"/>
        </w:rPr>
        <w:t>Against</w:t>
      </w:r>
      <w:proofErr w:type="gramEnd"/>
      <w:r>
        <w:rPr>
          <w:color w:val="000000" w:themeColor="text1"/>
          <w:szCs w:val="24"/>
        </w:rPr>
        <w:t xml:space="preserve"> Women (CEDAW)</w:t>
      </w:r>
    </w:p>
    <w:p w:rsidR="00237C0C" w:rsidRDefault="00237C0C" w:rsidP="00237C0C">
      <w:pPr>
        <w:spacing w:line="240" w:lineRule="auto"/>
        <w:ind w:left="567"/>
        <w:rPr>
          <w:color w:val="000000" w:themeColor="text1"/>
          <w:szCs w:val="24"/>
        </w:rPr>
      </w:pPr>
      <w:r>
        <w:rPr>
          <w:color w:val="000000" w:themeColor="text1"/>
          <w:szCs w:val="24"/>
        </w:rPr>
        <w:t>The United Nations 2030 Agenda for Sustainable Development</w:t>
      </w:r>
    </w:p>
    <w:p w:rsidR="00237C0C" w:rsidRDefault="00237C0C" w:rsidP="00237C0C">
      <w:pPr>
        <w:spacing w:line="240" w:lineRule="auto"/>
        <w:ind w:left="567"/>
        <w:rPr>
          <w:color w:val="000000" w:themeColor="text1"/>
          <w:szCs w:val="24"/>
        </w:rPr>
      </w:pPr>
      <w:r>
        <w:rPr>
          <w:color w:val="000000" w:themeColor="text1"/>
          <w:szCs w:val="24"/>
        </w:rPr>
        <w:t>ILO report "Care work and care jobs for the future of decent work", 2018.</w:t>
      </w:r>
    </w:p>
    <w:p w:rsidR="00237C0C" w:rsidRDefault="00CB1529" w:rsidP="00237C0C">
      <w:pPr>
        <w:spacing w:line="240" w:lineRule="auto"/>
        <w:ind w:left="567"/>
        <w:rPr>
          <w:color w:val="000000" w:themeColor="text1"/>
          <w:szCs w:val="24"/>
        </w:rPr>
      </w:pPr>
      <w:hyperlink r:id="rId24" w:history="1">
        <w:r w:rsidR="00237C0C">
          <w:rPr>
            <w:rStyle w:val="Hiperveza"/>
            <w:color w:val="000000" w:themeColor="text1"/>
            <w:szCs w:val="24"/>
          </w:rPr>
          <w:t>http://ilo.org/global/publications/books/WCMS_633135/lang--</w:t>
        </w:r>
        <w:proofErr w:type="spellStart"/>
        <w:r w:rsidR="00237C0C">
          <w:rPr>
            <w:rStyle w:val="Hiperveza"/>
            <w:color w:val="000000" w:themeColor="text1"/>
            <w:szCs w:val="24"/>
          </w:rPr>
          <w:t>en</w:t>
        </w:r>
        <w:proofErr w:type="spellEnd"/>
        <w:r w:rsidR="00237C0C">
          <w:rPr>
            <w:rStyle w:val="Hiperveza"/>
            <w:color w:val="000000" w:themeColor="text1"/>
            <w:szCs w:val="24"/>
          </w:rPr>
          <w:t>/index.htm</w:t>
        </w:r>
      </w:hyperlink>
    </w:p>
    <w:p w:rsidR="00237C0C" w:rsidRDefault="00237C0C" w:rsidP="00237C0C">
      <w:pPr>
        <w:spacing w:line="240" w:lineRule="auto"/>
        <w:rPr>
          <w:color w:val="000000" w:themeColor="text1"/>
          <w:szCs w:val="24"/>
        </w:rPr>
      </w:pPr>
    </w:p>
    <w:p w:rsidR="00237C0C" w:rsidRDefault="00237C0C" w:rsidP="00237C0C">
      <w:pPr>
        <w:spacing w:line="240" w:lineRule="auto"/>
        <w:rPr>
          <w:color w:val="000000" w:themeColor="text1"/>
          <w:szCs w:val="24"/>
        </w:rPr>
      </w:pPr>
    </w:p>
    <w:p w:rsidR="00237C0C" w:rsidRDefault="00237C0C" w:rsidP="00237C0C">
      <w:pPr>
        <w:spacing w:line="240" w:lineRule="auto"/>
        <w:jc w:val="center"/>
        <w:rPr>
          <w:color w:val="000000" w:themeColor="text1"/>
          <w:szCs w:val="24"/>
        </w:rPr>
      </w:pPr>
      <w:r>
        <w:rPr>
          <w:color w:val="000000" w:themeColor="text1"/>
          <w:szCs w:val="24"/>
        </w:rPr>
        <w:t>____________________</w:t>
      </w:r>
    </w:p>
    <w:p w:rsidR="0087035F" w:rsidRPr="00250D16" w:rsidRDefault="0087035F" w:rsidP="00AC62D2">
      <w:pPr>
        <w:spacing w:line="240" w:lineRule="auto"/>
        <w:rPr>
          <w:color w:val="000000" w:themeColor="text1"/>
          <w:szCs w:val="24"/>
        </w:rPr>
      </w:pPr>
    </w:p>
    <w:sectPr w:rsidR="0087035F" w:rsidRPr="00250D16" w:rsidSect="003F64A9">
      <w:headerReference w:type="default" r:id="rId25"/>
      <w:footerReference w:type="default" r:id="rId2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529" w:rsidRDefault="00CB1529" w:rsidP="00B5488B">
      <w:pPr>
        <w:spacing w:after="0" w:line="240" w:lineRule="auto"/>
      </w:pPr>
      <w:r>
        <w:separator/>
      </w:r>
    </w:p>
  </w:endnote>
  <w:endnote w:type="continuationSeparator" w:id="0">
    <w:p w:rsidR="00CB1529" w:rsidRDefault="00CB1529" w:rsidP="00B5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A69" w:rsidRPr="003F64A9" w:rsidRDefault="00EA2A69" w:rsidP="003F64A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F64A9" w:rsidRPr="00D94637" w:rsidTr="003F64A9">
      <w:trPr>
        <w:jc w:val="center"/>
      </w:trPr>
      <w:tc>
        <w:tcPr>
          <w:tcW w:w="5000" w:type="pct"/>
          <w:gridSpan w:val="7"/>
          <w:shd w:val="clear" w:color="auto" w:fill="auto"/>
          <w:tcMar>
            <w:top w:w="57" w:type="dxa"/>
          </w:tcMar>
        </w:tcPr>
        <w:p w:rsidR="003F64A9" w:rsidRPr="00D94637" w:rsidRDefault="003F64A9" w:rsidP="00D94637">
          <w:pPr>
            <w:pStyle w:val="FooterText"/>
            <w:pBdr>
              <w:top w:val="single" w:sz="4" w:space="1" w:color="auto"/>
            </w:pBdr>
            <w:spacing w:before="200"/>
            <w:rPr>
              <w:sz w:val="2"/>
              <w:szCs w:val="2"/>
            </w:rPr>
          </w:pPr>
          <w:bookmarkStart w:id="1" w:name="FOOTER_STANDARD"/>
        </w:p>
      </w:tc>
    </w:tr>
    <w:tr w:rsidR="003F64A9" w:rsidRPr="00B310DC" w:rsidTr="003F64A9">
      <w:trPr>
        <w:jc w:val="center"/>
      </w:trPr>
      <w:tc>
        <w:tcPr>
          <w:tcW w:w="2500" w:type="pct"/>
          <w:gridSpan w:val="2"/>
          <w:shd w:val="clear" w:color="auto" w:fill="auto"/>
          <w:tcMar>
            <w:top w:w="0" w:type="dxa"/>
          </w:tcMar>
        </w:tcPr>
        <w:p w:rsidR="003F64A9" w:rsidRPr="00AD7BF2" w:rsidRDefault="003F64A9" w:rsidP="004F54B2">
          <w:pPr>
            <w:pStyle w:val="FooterText"/>
          </w:pPr>
          <w:r>
            <w:t>8764/20</w:t>
          </w:r>
          <w:r w:rsidRPr="002511D8">
            <w:t xml:space="preserve"> </w:t>
          </w:r>
        </w:p>
      </w:tc>
      <w:tc>
        <w:tcPr>
          <w:tcW w:w="625" w:type="pct"/>
          <w:shd w:val="clear" w:color="auto" w:fill="auto"/>
          <w:tcMar>
            <w:top w:w="0" w:type="dxa"/>
          </w:tcMar>
        </w:tcPr>
        <w:p w:rsidR="003F64A9" w:rsidRPr="00AD7BF2" w:rsidRDefault="003F64A9" w:rsidP="00D94637">
          <w:pPr>
            <w:pStyle w:val="FooterText"/>
            <w:jc w:val="center"/>
          </w:pPr>
        </w:p>
      </w:tc>
      <w:tc>
        <w:tcPr>
          <w:tcW w:w="1286" w:type="pct"/>
          <w:gridSpan w:val="3"/>
          <w:shd w:val="clear" w:color="auto" w:fill="auto"/>
          <w:tcMar>
            <w:top w:w="0" w:type="dxa"/>
          </w:tcMar>
        </w:tcPr>
        <w:p w:rsidR="003F64A9" w:rsidRPr="002511D8" w:rsidRDefault="003F64A9" w:rsidP="00D94637">
          <w:pPr>
            <w:pStyle w:val="FooterText"/>
            <w:jc w:val="center"/>
          </w:pPr>
          <w:r>
            <w:t>PL/</w:t>
          </w:r>
          <w:proofErr w:type="spellStart"/>
          <w:r>
            <w:t>nn</w:t>
          </w:r>
          <w:proofErr w:type="spellEnd"/>
        </w:p>
      </w:tc>
      <w:tc>
        <w:tcPr>
          <w:tcW w:w="589" w:type="pct"/>
          <w:shd w:val="clear" w:color="auto" w:fill="auto"/>
          <w:tcMar>
            <w:top w:w="0" w:type="dxa"/>
          </w:tcMar>
        </w:tcPr>
        <w:p w:rsidR="003F64A9" w:rsidRPr="00B310DC" w:rsidRDefault="003F64A9" w:rsidP="003F64A9">
          <w:pPr>
            <w:pStyle w:val="FooterText"/>
            <w:jc w:val="right"/>
          </w:pPr>
          <w:r>
            <w:fldChar w:fldCharType="begin"/>
          </w:r>
          <w:r>
            <w:instrText xml:space="preserve"> PAGE  \* MERGEFORMAT </w:instrText>
          </w:r>
          <w:r>
            <w:fldChar w:fldCharType="separate"/>
          </w:r>
          <w:r w:rsidR="00CE03F8">
            <w:rPr>
              <w:noProof/>
            </w:rPr>
            <w:t>10</w:t>
          </w:r>
          <w:r>
            <w:fldChar w:fldCharType="end"/>
          </w:r>
        </w:p>
      </w:tc>
    </w:tr>
    <w:tr w:rsidR="003F64A9" w:rsidRPr="00D94637" w:rsidTr="003F64A9">
      <w:trPr>
        <w:jc w:val="center"/>
      </w:trPr>
      <w:tc>
        <w:tcPr>
          <w:tcW w:w="1774" w:type="pct"/>
          <w:shd w:val="clear" w:color="auto" w:fill="auto"/>
        </w:tcPr>
        <w:p w:rsidR="003F64A9" w:rsidRPr="00AD7BF2" w:rsidRDefault="003F64A9" w:rsidP="00D94637">
          <w:pPr>
            <w:pStyle w:val="FooterText"/>
            <w:spacing w:before="40"/>
          </w:pPr>
        </w:p>
      </w:tc>
      <w:tc>
        <w:tcPr>
          <w:tcW w:w="1455" w:type="pct"/>
          <w:gridSpan w:val="3"/>
          <w:shd w:val="clear" w:color="auto" w:fill="auto"/>
        </w:tcPr>
        <w:p w:rsidR="003F64A9" w:rsidRPr="00AD7BF2" w:rsidRDefault="003F64A9" w:rsidP="00D204D6">
          <w:pPr>
            <w:pStyle w:val="FooterText"/>
            <w:spacing w:before="40"/>
            <w:jc w:val="center"/>
          </w:pPr>
          <w:r>
            <w:t>LIFE.4</w:t>
          </w:r>
        </w:p>
      </w:tc>
      <w:tc>
        <w:tcPr>
          <w:tcW w:w="742" w:type="pct"/>
          <w:shd w:val="clear" w:color="auto" w:fill="auto"/>
        </w:tcPr>
        <w:p w:rsidR="003F64A9" w:rsidRPr="00D94637" w:rsidRDefault="003F64A9" w:rsidP="002F0099">
          <w:pPr>
            <w:pStyle w:val="FooterText"/>
            <w:jc w:val="center"/>
            <w:rPr>
              <w:b/>
              <w:position w:val="-4"/>
              <w:sz w:val="36"/>
            </w:rPr>
          </w:pPr>
        </w:p>
      </w:tc>
      <w:tc>
        <w:tcPr>
          <w:tcW w:w="1029" w:type="pct"/>
          <w:gridSpan w:val="2"/>
          <w:shd w:val="clear" w:color="auto" w:fill="auto"/>
        </w:tcPr>
        <w:p w:rsidR="003F64A9" w:rsidRPr="000310C2" w:rsidRDefault="003F64A9" w:rsidP="00D94637">
          <w:pPr>
            <w:pStyle w:val="FooterText"/>
            <w:jc w:val="right"/>
            <w:rPr>
              <w:spacing w:val="-20"/>
              <w:sz w:val="16"/>
            </w:rPr>
          </w:pPr>
          <w:r>
            <w:rPr>
              <w:b/>
              <w:spacing w:val="-20"/>
              <w:position w:val="-4"/>
              <w:sz w:val="36"/>
            </w:rPr>
            <w:t>EN</w:t>
          </w:r>
        </w:p>
      </w:tc>
    </w:tr>
    <w:bookmarkEnd w:id="1"/>
  </w:tbl>
  <w:p w:rsidR="00A94F6A" w:rsidRPr="003F64A9" w:rsidRDefault="00A94F6A" w:rsidP="003F64A9">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F64A9" w:rsidRPr="00D94637" w:rsidTr="003F64A9">
      <w:trPr>
        <w:jc w:val="center"/>
      </w:trPr>
      <w:tc>
        <w:tcPr>
          <w:tcW w:w="5000" w:type="pct"/>
          <w:gridSpan w:val="7"/>
          <w:shd w:val="clear" w:color="auto" w:fill="auto"/>
          <w:tcMar>
            <w:top w:w="57" w:type="dxa"/>
          </w:tcMar>
        </w:tcPr>
        <w:p w:rsidR="003F64A9" w:rsidRPr="00D94637" w:rsidRDefault="003F64A9" w:rsidP="00D94637">
          <w:pPr>
            <w:pStyle w:val="FooterText"/>
            <w:pBdr>
              <w:top w:val="single" w:sz="4" w:space="1" w:color="auto"/>
            </w:pBdr>
            <w:spacing w:before="200"/>
            <w:rPr>
              <w:sz w:val="2"/>
              <w:szCs w:val="2"/>
            </w:rPr>
          </w:pPr>
        </w:p>
      </w:tc>
    </w:tr>
    <w:tr w:rsidR="003F64A9" w:rsidRPr="00B310DC" w:rsidTr="003F64A9">
      <w:trPr>
        <w:jc w:val="center"/>
      </w:trPr>
      <w:tc>
        <w:tcPr>
          <w:tcW w:w="2500" w:type="pct"/>
          <w:gridSpan w:val="2"/>
          <w:shd w:val="clear" w:color="auto" w:fill="auto"/>
          <w:tcMar>
            <w:top w:w="0" w:type="dxa"/>
          </w:tcMar>
        </w:tcPr>
        <w:p w:rsidR="003F64A9" w:rsidRPr="00AD7BF2" w:rsidRDefault="003F64A9" w:rsidP="004F54B2">
          <w:pPr>
            <w:pStyle w:val="FooterText"/>
          </w:pPr>
          <w:r>
            <w:t>8764/20</w:t>
          </w:r>
          <w:r w:rsidRPr="002511D8">
            <w:t xml:space="preserve"> </w:t>
          </w:r>
        </w:p>
      </w:tc>
      <w:tc>
        <w:tcPr>
          <w:tcW w:w="625" w:type="pct"/>
          <w:shd w:val="clear" w:color="auto" w:fill="auto"/>
          <w:tcMar>
            <w:top w:w="0" w:type="dxa"/>
          </w:tcMar>
        </w:tcPr>
        <w:p w:rsidR="003F64A9" w:rsidRPr="00AD7BF2" w:rsidRDefault="003F64A9" w:rsidP="00D94637">
          <w:pPr>
            <w:pStyle w:val="FooterText"/>
            <w:jc w:val="center"/>
          </w:pPr>
        </w:p>
      </w:tc>
      <w:tc>
        <w:tcPr>
          <w:tcW w:w="1286" w:type="pct"/>
          <w:gridSpan w:val="3"/>
          <w:shd w:val="clear" w:color="auto" w:fill="auto"/>
          <w:tcMar>
            <w:top w:w="0" w:type="dxa"/>
          </w:tcMar>
        </w:tcPr>
        <w:p w:rsidR="003F64A9" w:rsidRPr="002511D8" w:rsidRDefault="003F64A9" w:rsidP="00D94637">
          <w:pPr>
            <w:pStyle w:val="FooterText"/>
            <w:jc w:val="center"/>
          </w:pPr>
          <w:r>
            <w:t>PL/</w:t>
          </w:r>
          <w:proofErr w:type="spellStart"/>
          <w:r>
            <w:t>nn</w:t>
          </w:r>
          <w:proofErr w:type="spellEnd"/>
        </w:p>
      </w:tc>
      <w:tc>
        <w:tcPr>
          <w:tcW w:w="589" w:type="pct"/>
          <w:shd w:val="clear" w:color="auto" w:fill="auto"/>
          <w:tcMar>
            <w:top w:w="0" w:type="dxa"/>
          </w:tcMar>
        </w:tcPr>
        <w:p w:rsidR="003F64A9" w:rsidRPr="00B310DC" w:rsidRDefault="003F64A9" w:rsidP="003F64A9">
          <w:pPr>
            <w:pStyle w:val="FooterText"/>
            <w:jc w:val="right"/>
          </w:pPr>
          <w:r>
            <w:fldChar w:fldCharType="begin"/>
          </w:r>
          <w:r>
            <w:instrText xml:space="preserve"> PAGE  \* MERGEFORMAT </w:instrText>
          </w:r>
          <w:r>
            <w:fldChar w:fldCharType="separate"/>
          </w:r>
          <w:r w:rsidR="00C9599C">
            <w:rPr>
              <w:noProof/>
            </w:rPr>
            <w:t>1</w:t>
          </w:r>
          <w:r>
            <w:fldChar w:fldCharType="end"/>
          </w:r>
        </w:p>
      </w:tc>
    </w:tr>
    <w:tr w:rsidR="003F64A9" w:rsidRPr="00D94637" w:rsidTr="003F64A9">
      <w:trPr>
        <w:jc w:val="center"/>
      </w:trPr>
      <w:tc>
        <w:tcPr>
          <w:tcW w:w="1774" w:type="pct"/>
          <w:shd w:val="clear" w:color="auto" w:fill="auto"/>
        </w:tcPr>
        <w:p w:rsidR="003F64A9" w:rsidRPr="00AD7BF2" w:rsidRDefault="003F64A9" w:rsidP="00D94637">
          <w:pPr>
            <w:pStyle w:val="FooterText"/>
            <w:spacing w:before="40"/>
          </w:pPr>
        </w:p>
      </w:tc>
      <w:tc>
        <w:tcPr>
          <w:tcW w:w="1455" w:type="pct"/>
          <w:gridSpan w:val="3"/>
          <w:shd w:val="clear" w:color="auto" w:fill="auto"/>
        </w:tcPr>
        <w:p w:rsidR="003F64A9" w:rsidRPr="00AD7BF2" w:rsidRDefault="003F64A9" w:rsidP="00D204D6">
          <w:pPr>
            <w:pStyle w:val="FooterText"/>
            <w:spacing w:before="40"/>
            <w:jc w:val="center"/>
          </w:pPr>
          <w:r>
            <w:t>LIFE.4</w:t>
          </w:r>
        </w:p>
      </w:tc>
      <w:tc>
        <w:tcPr>
          <w:tcW w:w="742" w:type="pct"/>
          <w:shd w:val="clear" w:color="auto" w:fill="auto"/>
        </w:tcPr>
        <w:p w:rsidR="003F64A9" w:rsidRPr="00D94637" w:rsidRDefault="003F64A9" w:rsidP="002F0099">
          <w:pPr>
            <w:pStyle w:val="FooterText"/>
            <w:jc w:val="center"/>
            <w:rPr>
              <w:b/>
              <w:position w:val="-4"/>
              <w:sz w:val="36"/>
            </w:rPr>
          </w:pPr>
        </w:p>
      </w:tc>
      <w:tc>
        <w:tcPr>
          <w:tcW w:w="1029" w:type="pct"/>
          <w:gridSpan w:val="2"/>
          <w:shd w:val="clear" w:color="auto" w:fill="auto"/>
        </w:tcPr>
        <w:p w:rsidR="003F64A9" w:rsidRPr="000310C2" w:rsidRDefault="003F64A9" w:rsidP="00D94637">
          <w:pPr>
            <w:pStyle w:val="FooterText"/>
            <w:jc w:val="right"/>
            <w:rPr>
              <w:spacing w:val="-20"/>
              <w:sz w:val="16"/>
            </w:rPr>
          </w:pPr>
          <w:r>
            <w:rPr>
              <w:b/>
              <w:spacing w:val="-20"/>
              <w:position w:val="-4"/>
              <w:sz w:val="36"/>
            </w:rPr>
            <w:t>EN</w:t>
          </w:r>
        </w:p>
      </w:tc>
    </w:tr>
  </w:tbl>
  <w:p w:rsidR="00A94F6A" w:rsidRPr="003F64A9" w:rsidRDefault="00A94F6A" w:rsidP="003F64A9">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6A" w:rsidRPr="003F64A9" w:rsidRDefault="00A94F6A" w:rsidP="003F64A9">
    <w:pPr>
      <w:pStyle w:val="Podnoj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F64A9" w:rsidRPr="00D94637" w:rsidTr="003F64A9">
      <w:trPr>
        <w:jc w:val="center"/>
      </w:trPr>
      <w:tc>
        <w:tcPr>
          <w:tcW w:w="5000" w:type="pct"/>
          <w:gridSpan w:val="7"/>
          <w:shd w:val="clear" w:color="auto" w:fill="auto"/>
          <w:tcMar>
            <w:top w:w="57" w:type="dxa"/>
          </w:tcMar>
        </w:tcPr>
        <w:p w:rsidR="003F64A9" w:rsidRPr="00D94637" w:rsidRDefault="003F64A9" w:rsidP="00D94637">
          <w:pPr>
            <w:pStyle w:val="FooterText"/>
            <w:pBdr>
              <w:top w:val="single" w:sz="4" w:space="1" w:color="auto"/>
            </w:pBdr>
            <w:spacing w:before="200"/>
            <w:rPr>
              <w:sz w:val="2"/>
              <w:szCs w:val="2"/>
            </w:rPr>
          </w:pPr>
        </w:p>
      </w:tc>
    </w:tr>
    <w:tr w:rsidR="003F64A9" w:rsidRPr="00B310DC" w:rsidTr="003F64A9">
      <w:trPr>
        <w:jc w:val="center"/>
      </w:trPr>
      <w:tc>
        <w:tcPr>
          <w:tcW w:w="2500" w:type="pct"/>
          <w:gridSpan w:val="2"/>
          <w:shd w:val="clear" w:color="auto" w:fill="auto"/>
          <w:tcMar>
            <w:top w:w="0" w:type="dxa"/>
          </w:tcMar>
        </w:tcPr>
        <w:p w:rsidR="003F64A9" w:rsidRPr="00AD7BF2" w:rsidRDefault="003F64A9" w:rsidP="004F54B2">
          <w:pPr>
            <w:pStyle w:val="FooterText"/>
          </w:pPr>
          <w:r>
            <w:t>8764/20</w:t>
          </w:r>
          <w:r w:rsidRPr="002511D8">
            <w:t xml:space="preserve"> </w:t>
          </w:r>
        </w:p>
      </w:tc>
      <w:tc>
        <w:tcPr>
          <w:tcW w:w="625" w:type="pct"/>
          <w:shd w:val="clear" w:color="auto" w:fill="auto"/>
          <w:tcMar>
            <w:top w:w="0" w:type="dxa"/>
          </w:tcMar>
        </w:tcPr>
        <w:p w:rsidR="003F64A9" w:rsidRPr="00AD7BF2" w:rsidRDefault="003F64A9" w:rsidP="00D94637">
          <w:pPr>
            <w:pStyle w:val="FooterText"/>
            <w:jc w:val="center"/>
          </w:pPr>
        </w:p>
      </w:tc>
      <w:tc>
        <w:tcPr>
          <w:tcW w:w="1286" w:type="pct"/>
          <w:gridSpan w:val="3"/>
          <w:shd w:val="clear" w:color="auto" w:fill="auto"/>
          <w:tcMar>
            <w:top w:w="0" w:type="dxa"/>
          </w:tcMar>
        </w:tcPr>
        <w:p w:rsidR="003F64A9" w:rsidRPr="002511D8" w:rsidRDefault="003F64A9" w:rsidP="00D94637">
          <w:pPr>
            <w:pStyle w:val="FooterText"/>
            <w:jc w:val="center"/>
          </w:pPr>
          <w:r>
            <w:t>PL/</w:t>
          </w:r>
          <w:proofErr w:type="spellStart"/>
          <w:r>
            <w:t>nn</w:t>
          </w:r>
          <w:proofErr w:type="spellEnd"/>
        </w:p>
      </w:tc>
      <w:tc>
        <w:tcPr>
          <w:tcW w:w="589" w:type="pct"/>
          <w:shd w:val="clear" w:color="auto" w:fill="auto"/>
          <w:tcMar>
            <w:top w:w="0" w:type="dxa"/>
          </w:tcMar>
        </w:tcPr>
        <w:p w:rsidR="003F64A9" w:rsidRPr="00B310DC" w:rsidRDefault="003F64A9" w:rsidP="003F64A9">
          <w:pPr>
            <w:pStyle w:val="FooterText"/>
            <w:jc w:val="right"/>
          </w:pPr>
          <w:r>
            <w:fldChar w:fldCharType="begin"/>
          </w:r>
          <w:r>
            <w:instrText xml:space="preserve"> PAGE  \* MERGEFORMAT </w:instrText>
          </w:r>
          <w:r>
            <w:fldChar w:fldCharType="separate"/>
          </w:r>
          <w:r w:rsidR="00CE03F8">
            <w:rPr>
              <w:noProof/>
            </w:rPr>
            <w:t>14</w:t>
          </w:r>
          <w:r>
            <w:fldChar w:fldCharType="end"/>
          </w:r>
        </w:p>
      </w:tc>
    </w:tr>
    <w:tr w:rsidR="003F64A9" w:rsidRPr="00D94637" w:rsidTr="003F64A9">
      <w:trPr>
        <w:jc w:val="center"/>
      </w:trPr>
      <w:tc>
        <w:tcPr>
          <w:tcW w:w="1774" w:type="pct"/>
          <w:shd w:val="clear" w:color="auto" w:fill="auto"/>
        </w:tcPr>
        <w:p w:rsidR="003F64A9" w:rsidRPr="00AD7BF2" w:rsidRDefault="003F64A9" w:rsidP="00D94637">
          <w:pPr>
            <w:pStyle w:val="FooterText"/>
            <w:spacing w:before="40"/>
          </w:pPr>
          <w:r>
            <w:t>ANNEX</w:t>
          </w:r>
        </w:p>
      </w:tc>
      <w:tc>
        <w:tcPr>
          <w:tcW w:w="1455" w:type="pct"/>
          <w:gridSpan w:val="3"/>
          <w:shd w:val="clear" w:color="auto" w:fill="auto"/>
        </w:tcPr>
        <w:p w:rsidR="003F64A9" w:rsidRPr="00AD7BF2" w:rsidRDefault="003F64A9" w:rsidP="00D204D6">
          <w:pPr>
            <w:pStyle w:val="FooterText"/>
            <w:spacing w:before="40"/>
            <w:jc w:val="center"/>
          </w:pPr>
          <w:r>
            <w:t>LIFE.4</w:t>
          </w:r>
        </w:p>
      </w:tc>
      <w:tc>
        <w:tcPr>
          <w:tcW w:w="742" w:type="pct"/>
          <w:shd w:val="clear" w:color="auto" w:fill="auto"/>
        </w:tcPr>
        <w:p w:rsidR="003F64A9" w:rsidRPr="00D94637" w:rsidRDefault="003F64A9" w:rsidP="002F0099">
          <w:pPr>
            <w:pStyle w:val="FooterText"/>
            <w:jc w:val="center"/>
            <w:rPr>
              <w:b/>
              <w:position w:val="-4"/>
              <w:sz w:val="36"/>
            </w:rPr>
          </w:pPr>
        </w:p>
      </w:tc>
      <w:tc>
        <w:tcPr>
          <w:tcW w:w="1029" w:type="pct"/>
          <w:gridSpan w:val="2"/>
          <w:shd w:val="clear" w:color="auto" w:fill="auto"/>
        </w:tcPr>
        <w:p w:rsidR="003F64A9" w:rsidRPr="000310C2" w:rsidRDefault="003F64A9" w:rsidP="00D94637">
          <w:pPr>
            <w:pStyle w:val="FooterText"/>
            <w:jc w:val="right"/>
            <w:rPr>
              <w:spacing w:val="-20"/>
              <w:sz w:val="16"/>
            </w:rPr>
          </w:pPr>
          <w:r>
            <w:rPr>
              <w:b/>
              <w:spacing w:val="-20"/>
              <w:position w:val="-4"/>
              <w:sz w:val="36"/>
            </w:rPr>
            <w:t>EN</w:t>
          </w:r>
        </w:p>
      </w:tc>
    </w:tr>
  </w:tbl>
  <w:p w:rsidR="00A94F6A" w:rsidRPr="003F64A9" w:rsidRDefault="00A94F6A" w:rsidP="003F64A9">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529" w:rsidRDefault="00CB1529" w:rsidP="00B5488B">
      <w:pPr>
        <w:spacing w:after="0" w:line="240" w:lineRule="auto"/>
      </w:pPr>
      <w:r>
        <w:separator/>
      </w:r>
    </w:p>
  </w:footnote>
  <w:footnote w:type="continuationSeparator" w:id="0">
    <w:p w:rsidR="00CB1529" w:rsidRDefault="00CB1529" w:rsidP="00B5488B">
      <w:pPr>
        <w:spacing w:after="0" w:line="240" w:lineRule="auto"/>
      </w:pPr>
      <w:r>
        <w:continuationSeparator/>
      </w:r>
    </w:p>
  </w:footnote>
  <w:footnote w:id="1">
    <w:p w:rsidR="00237C0C" w:rsidRDefault="00237C0C" w:rsidP="00237C0C">
      <w:pPr>
        <w:pStyle w:val="Tekstfusnote"/>
      </w:pPr>
      <w:r>
        <w:rPr>
          <w:rStyle w:val="Referencafusnote"/>
        </w:rPr>
        <w:footnoteRef/>
      </w:r>
      <w:r>
        <w:t xml:space="preserve"> </w:t>
      </w:r>
      <w:r>
        <w:tab/>
        <w:t xml:space="preserve">For example, according to EIGE, women </w:t>
      </w:r>
      <w:r>
        <w:rPr>
          <w:rFonts w:asciiTheme="majorBidi" w:hAnsiTheme="majorBidi" w:cstheme="majorBidi"/>
          <w:szCs w:val="24"/>
        </w:rPr>
        <w:t>account for as much as 82% of home-based formal care providers.</w:t>
      </w:r>
    </w:p>
  </w:footnote>
  <w:footnote w:id="2">
    <w:p w:rsidR="00237C0C" w:rsidRDefault="00237C0C" w:rsidP="00237C0C">
      <w:pPr>
        <w:pStyle w:val="Tekstfusnote"/>
        <w:ind w:left="567" w:hanging="567"/>
      </w:pPr>
      <w:r>
        <w:rPr>
          <w:rStyle w:val="Referencafusnote"/>
        </w:rPr>
        <w:footnoteRef/>
      </w:r>
      <w:r>
        <w:t xml:space="preserve"> </w:t>
      </w:r>
      <w:r>
        <w:tab/>
        <w:t>Doc. 7893/20 ADD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A69" w:rsidRPr="003F64A9" w:rsidRDefault="00EA2A69" w:rsidP="003F64A9">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6A" w:rsidRPr="003F64A9" w:rsidRDefault="003F64A9" w:rsidP="003F64A9">
    <w:pPr>
      <w:pStyle w:val="HeaderCouncilLarge"/>
    </w:pP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6A" w:rsidRPr="003F64A9" w:rsidRDefault="003F64A9" w:rsidP="003F64A9">
    <w:pPr>
      <w:pStyle w:val="HeaderCouncil"/>
    </w:pP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6A" w:rsidRPr="003F64A9" w:rsidRDefault="00A94F6A" w:rsidP="003F64A9">
    <w:pPr>
      <w:pStyle w:val="Zaglavlj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6A" w:rsidRPr="003F64A9" w:rsidRDefault="00A94F6A" w:rsidP="003F64A9">
    <w:pPr>
      <w:pStyle w:val="Zaglavlj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F6A" w:rsidRPr="003F64A9" w:rsidRDefault="00A94F6A" w:rsidP="003F64A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AC9"/>
    <w:multiLevelType w:val="hybridMultilevel"/>
    <w:tmpl w:val="EFD68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96B39"/>
    <w:multiLevelType w:val="multilevel"/>
    <w:tmpl w:val="640E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3"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4"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5"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7"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8" w15:restartNumberingAfterBreak="0">
    <w:nsid w:val="24DF42C9"/>
    <w:multiLevelType w:val="hybridMultilevel"/>
    <w:tmpl w:val="B93A622E"/>
    <w:lvl w:ilvl="0" w:tplc="17D22492">
      <w:start w:val="2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A9032B"/>
    <w:multiLevelType w:val="hybridMultilevel"/>
    <w:tmpl w:val="6D002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B521D9"/>
    <w:multiLevelType w:val="hybridMultilevel"/>
    <w:tmpl w:val="82C06224"/>
    <w:lvl w:ilvl="0" w:tplc="F36C254E">
      <w:start w:val="1"/>
      <w:numFmt w:val="decimal"/>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731DE"/>
    <w:multiLevelType w:val="hybridMultilevel"/>
    <w:tmpl w:val="B3F65156"/>
    <w:lvl w:ilvl="0" w:tplc="7F5C5E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8308D"/>
    <w:multiLevelType w:val="hybridMultilevel"/>
    <w:tmpl w:val="79B0F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AB1962"/>
    <w:multiLevelType w:val="multilevel"/>
    <w:tmpl w:val="DA1A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425A9"/>
    <w:multiLevelType w:val="hybridMultilevel"/>
    <w:tmpl w:val="6D002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8" w15:restartNumberingAfterBreak="0">
    <w:nsid w:val="4B280BEB"/>
    <w:multiLevelType w:val="hybridMultilevel"/>
    <w:tmpl w:val="F254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3ED7F24"/>
    <w:multiLevelType w:val="hybridMultilevel"/>
    <w:tmpl w:val="D7F0C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2"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E7098D"/>
    <w:multiLevelType w:val="hybridMultilevel"/>
    <w:tmpl w:val="468CFCC2"/>
    <w:lvl w:ilvl="0" w:tplc="7430C7BA">
      <w:start w:val="2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6"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7" w15:restartNumberingAfterBreak="0">
    <w:nsid w:val="68C175D1"/>
    <w:multiLevelType w:val="hybridMultilevel"/>
    <w:tmpl w:val="3FE220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9"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0"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1"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32"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33"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4"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29"/>
  </w:num>
  <w:num w:numId="2">
    <w:abstractNumId w:val="3"/>
  </w:num>
  <w:num w:numId="3">
    <w:abstractNumId w:val="30"/>
  </w:num>
  <w:num w:numId="4">
    <w:abstractNumId w:val="25"/>
  </w:num>
  <w:num w:numId="5">
    <w:abstractNumId w:val="4"/>
  </w:num>
  <w:num w:numId="6">
    <w:abstractNumId w:val="32"/>
  </w:num>
  <w:num w:numId="7">
    <w:abstractNumId w:val="34"/>
  </w:num>
  <w:num w:numId="8">
    <w:abstractNumId w:val="21"/>
  </w:num>
  <w:num w:numId="9">
    <w:abstractNumId w:val="31"/>
  </w:num>
  <w:num w:numId="10">
    <w:abstractNumId w:val="26"/>
  </w:num>
  <w:num w:numId="11">
    <w:abstractNumId w:val="17"/>
  </w:num>
  <w:num w:numId="12">
    <w:abstractNumId w:val="7"/>
  </w:num>
  <w:num w:numId="13">
    <w:abstractNumId w:val="6"/>
  </w:num>
  <w:num w:numId="14">
    <w:abstractNumId w:val="28"/>
  </w:num>
  <w:num w:numId="15">
    <w:abstractNumId w:val="33"/>
  </w:num>
  <w:num w:numId="16">
    <w:abstractNumId w:val="2"/>
  </w:num>
  <w:num w:numId="17">
    <w:abstractNumId w:val="9"/>
  </w:num>
  <w:num w:numId="18">
    <w:abstractNumId w:val="5"/>
  </w:num>
  <w:num w:numId="19">
    <w:abstractNumId w:val="10"/>
  </w:num>
  <w:num w:numId="20">
    <w:abstractNumId w:val="22"/>
  </w:num>
  <w:num w:numId="21">
    <w:abstractNumId w:val="18"/>
  </w:num>
  <w:num w:numId="22">
    <w:abstractNumId w:val="13"/>
  </w:num>
  <w:num w:numId="23">
    <w:abstractNumId w:val="11"/>
  </w:num>
  <w:num w:numId="24">
    <w:abstractNumId w:val="20"/>
  </w:num>
  <w:num w:numId="25">
    <w:abstractNumId w:val="0"/>
  </w:num>
  <w:num w:numId="26">
    <w:abstractNumId w:val="24"/>
  </w:num>
  <w:num w:numId="27">
    <w:abstractNumId w:val="14"/>
  </w:num>
  <w:num w:numId="28">
    <w:abstractNumId w:val="8"/>
  </w:num>
  <w:num w:numId="29">
    <w:abstractNumId w:val="16"/>
  </w:num>
  <w:num w:numId="30">
    <w:abstractNumId w:val="15"/>
  </w:num>
  <w:num w:numId="31">
    <w:abstractNumId w:val="1"/>
  </w:num>
  <w:num w:numId="32">
    <w:abstractNumId w:val="2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567"/>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3.12&quot; technicalblockguid=&quot;522810724217401948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0-06-10&lt;/text&gt;_x000d__x000a_  &lt;/metadata&gt;_x000d__x000a_  &lt;metadata key=&quot;md_Prefix&quot;&gt;_x000d__x000a_    &lt;text&gt;&lt;/text&gt;_x000d__x000a_  &lt;/metadata&gt;_x000d__x000a_  &lt;metadata key=&quot;md_DocumentNumber&quot;&gt;_x000d__x000a_    &lt;text&gt;8764&lt;/text&gt;_x000d__x000a_  &lt;/metadata&gt;_x000d__x000a_  &lt;metadata key=&quot;md_YearDocumentNumber&quot;&gt;_x000d__x000a_    &lt;text&gt;2020&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SOC 406&lt;/text&gt;_x000d__x000a_      &lt;text&gt;EMPL 321&lt;/text&gt;_x000d__x000a_      &lt;text&gt;SAN 201&lt;/text&gt;_x000d__x000a_      &lt;text&gt;GENDER 94&lt;/text&gt;_x000d__x000a_      &lt;text&gt;ANTIDISCRIM 8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12&quot; text=&quot;Presidency&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ST 8484/20&lt;/text&gt;_x000d__x000a_    &lt;/textlist&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Impact of Long-Term Care on Work-Life Balance - Presidency Conclusions&quot;&gt;&amp;lt;FlowDocument FontFamily=&quot;Segoe UI&quot; FontSize=&quot;12&quot; LineHeight=&quot;6&quot; PageWidth=&quot;329&quot; PagePadding=&quot;2,2,2,2&quot; AllowDrop=&quot;False&quot; xmlns=&quot;http://schemas.microsoft.com/winfx/2006/xaml/presentation&quot;&amp;gt;&amp;lt;Paragraph LineHeight=&quot;6&quot; FontFamily=&quot;Arial Unicode MS&quot; FontSize=&quot;12&quot;&amp;gt;Impact of Long-Term Care on Work-Life Balance&amp;lt;/Paragraph&amp;gt;&amp;lt;Paragraph LineHeight=&quot;6&quot; FontFamily=&quot;Arial Unicode MS&quot; FontSize=&quot;12&quot;&amp;gt;- Presidency Conclusions&amp;lt;/Paragraph&amp;gt;&amp;lt;/FlowDocument&amp;gt;&lt;/xaml&gt;_x000d__x000a_  &lt;/metadata&gt;_x000d__x000a_  &lt;metadata key=&quot;md_SubjectFootnote&quot; /&gt;_x000d__x000a_  &lt;metadata key=&quot;md_DG&quot;&gt;_x000d__x000a_    &lt;text&gt;LIFE.4&lt;/text&gt;_x000d__x000a_  &lt;/metadata&gt;_x000d__x000a_  &lt;metadata key=&quot;md_Initials&quot;&gt;_x000d__x000a_    &lt;text&gt;PL/nn&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LW_DocType" w:val="DW_COUNCIL"/>
    <w:docVar w:name="VSSDB_IniPath" w:val="\\at100\user\wovo\SEILEG\vss\srcsafe.ini"/>
    <w:docVar w:name="VSSDB_ProjectPath" w:val="$/DocuWrite/DOT/DW_COUNCIL"/>
  </w:docVars>
  <w:rsids>
    <w:rsidRoot w:val="000E670A"/>
    <w:rsid w:val="0000003C"/>
    <w:rsid w:val="000020E2"/>
    <w:rsid w:val="00006F65"/>
    <w:rsid w:val="000133DE"/>
    <w:rsid w:val="00013C08"/>
    <w:rsid w:val="000157A8"/>
    <w:rsid w:val="00017E9C"/>
    <w:rsid w:val="000211DC"/>
    <w:rsid w:val="00021D5C"/>
    <w:rsid w:val="000237B3"/>
    <w:rsid w:val="0003025C"/>
    <w:rsid w:val="000306E8"/>
    <w:rsid w:val="000341A9"/>
    <w:rsid w:val="00034745"/>
    <w:rsid w:val="000351F9"/>
    <w:rsid w:val="00042AC9"/>
    <w:rsid w:val="00046245"/>
    <w:rsid w:val="00046BAA"/>
    <w:rsid w:val="000505FC"/>
    <w:rsid w:val="00050F12"/>
    <w:rsid w:val="0005214A"/>
    <w:rsid w:val="000557BE"/>
    <w:rsid w:val="000562F6"/>
    <w:rsid w:val="00057E23"/>
    <w:rsid w:val="0006112A"/>
    <w:rsid w:val="00063BF4"/>
    <w:rsid w:val="00065B54"/>
    <w:rsid w:val="000666D1"/>
    <w:rsid w:val="000668D0"/>
    <w:rsid w:val="00067DB2"/>
    <w:rsid w:val="000720B1"/>
    <w:rsid w:val="0007315E"/>
    <w:rsid w:val="0007341A"/>
    <w:rsid w:val="000736E5"/>
    <w:rsid w:val="000746C9"/>
    <w:rsid w:val="00074D06"/>
    <w:rsid w:val="00074F7E"/>
    <w:rsid w:val="00075562"/>
    <w:rsid w:val="00080BA9"/>
    <w:rsid w:val="00081C99"/>
    <w:rsid w:val="000825ED"/>
    <w:rsid w:val="00084450"/>
    <w:rsid w:val="000846FB"/>
    <w:rsid w:val="00084D17"/>
    <w:rsid w:val="00085E43"/>
    <w:rsid w:val="000925CD"/>
    <w:rsid w:val="000925E6"/>
    <w:rsid w:val="00093432"/>
    <w:rsid w:val="0009444A"/>
    <w:rsid w:val="00095118"/>
    <w:rsid w:val="000A2671"/>
    <w:rsid w:val="000A3D42"/>
    <w:rsid w:val="000A61EA"/>
    <w:rsid w:val="000A7EFB"/>
    <w:rsid w:val="000B0340"/>
    <w:rsid w:val="000B151B"/>
    <w:rsid w:val="000B30E1"/>
    <w:rsid w:val="000B6262"/>
    <w:rsid w:val="000C0446"/>
    <w:rsid w:val="000C050F"/>
    <w:rsid w:val="000C34E6"/>
    <w:rsid w:val="000C3AB1"/>
    <w:rsid w:val="000C3FCD"/>
    <w:rsid w:val="000D19BF"/>
    <w:rsid w:val="000D1FEE"/>
    <w:rsid w:val="000D3D25"/>
    <w:rsid w:val="000D4A7A"/>
    <w:rsid w:val="000E0312"/>
    <w:rsid w:val="000E433E"/>
    <w:rsid w:val="000E528D"/>
    <w:rsid w:val="000E670A"/>
    <w:rsid w:val="000E7D8A"/>
    <w:rsid w:val="000F3E83"/>
    <w:rsid w:val="000F56FF"/>
    <w:rsid w:val="000F5B39"/>
    <w:rsid w:val="000F5CB0"/>
    <w:rsid w:val="0010034C"/>
    <w:rsid w:val="001044BE"/>
    <w:rsid w:val="0010455A"/>
    <w:rsid w:val="00107002"/>
    <w:rsid w:val="00107789"/>
    <w:rsid w:val="001100FF"/>
    <w:rsid w:val="00113109"/>
    <w:rsid w:val="0011380C"/>
    <w:rsid w:val="00113BAF"/>
    <w:rsid w:val="0011586F"/>
    <w:rsid w:val="0011614D"/>
    <w:rsid w:val="00117291"/>
    <w:rsid w:val="00120408"/>
    <w:rsid w:val="001214B2"/>
    <w:rsid w:val="001218A3"/>
    <w:rsid w:val="0012237B"/>
    <w:rsid w:val="00122551"/>
    <w:rsid w:val="00123A1E"/>
    <w:rsid w:val="00123A25"/>
    <w:rsid w:val="00126C2D"/>
    <w:rsid w:val="0012701B"/>
    <w:rsid w:val="00131CFE"/>
    <w:rsid w:val="0013244E"/>
    <w:rsid w:val="001334F9"/>
    <w:rsid w:val="001350D2"/>
    <w:rsid w:val="00135EA9"/>
    <w:rsid w:val="0014053B"/>
    <w:rsid w:val="00142884"/>
    <w:rsid w:val="00142E8F"/>
    <w:rsid w:val="0014633B"/>
    <w:rsid w:val="00147EE3"/>
    <w:rsid w:val="001518F4"/>
    <w:rsid w:val="001526C2"/>
    <w:rsid w:val="0015376F"/>
    <w:rsid w:val="0015692E"/>
    <w:rsid w:val="00156D57"/>
    <w:rsid w:val="00157041"/>
    <w:rsid w:val="00162E2F"/>
    <w:rsid w:val="00166D63"/>
    <w:rsid w:val="00170495"/>
    <w:rsid w:val="0017127D"/>
    <w:rsid w:val="00171586"/>
    <w:rsid w:val="00171840"/>
    <w:rsid w:val="00171DCB"/>
    <w:rsid w:val="00171E9A"/>
    <w:rsid w:val="001725E3"/>
    <w:rsid w:val="001746F5"/>
    <w:rsid w:val="001748DE"/>
    <w:rsid w:val="00174CDC"/>
    <w:rsid w:val="001761F7"/>
    <w:rsid w:val="00176224"/>
    <w:rsid w:val="00182BE2"/>
    <w:rsid w:val="00184758"/>
    <w:rsid w:val="00185572"/>
    <w:rsid w:val="00190CE5"/>
    <w:rsid w:val="00192401"/>
    <w:rsid w:val="00193271"/>
    <w:rsid w:val="00193E03"/>
    <w:rsid w:val="00194589"/>
    <w:rsid w:val="001951C0"/>
    <w:rsid w:val="001A0EBB"/>
    <w:rsid w:val="001A12E1"/>
    <w:rsid w:val="001A157F"/>
    <w:rsid w:val="001A1D4A"/>
    <w:rsid w:val="001A24C5"/>
    <w:rsid w:val="001A7055"/>
    <w:rsid w:val="001A72A7"/>
    <w:rsid w:val="001B09D0"/>
    <w:rsid w:val="001B1198"/>
    <w:rsid w:val="001B6224"/>
    <w:rsid w:val="001B7980"/>
    <w:rsid w:val="001C0178"/>
    <w:rsid w:val="001C549A"/>
    <w:rsid w:val="001C5E3F"/>
    <w:rsid w:val="001D11B2"/>
    <w:rsid w:val="001D19F6"/>
    <w:rsid w:val="001D29AF"/>
    <w:rsid w:val="001D2C7E"/>
    <w:rsid w:val="001E0B26"/>
    <w:rsid w:val="001E2945"/>
    <w:rsid w:val="001F054A"/>
    <w:rsid w:val="001F258E"/>
    <w:rsid w:val="001F3576"/>
    <w:rsid w:val="001F3A2F"/>
    <w:rsid w:val="001F4CFC"/>
    <w:rsid w:val="001F5D33"/>
    <w:rsid w:val="001F5EA4"/>
    <w:rsid w:val="0020043F"/>
    <w:rsid w:val="002021F8"/>
    <w:rsid w:val="00203F23"/>
    <w:rsid w:val="00204EA7"/>
    <w:rsid w:val="0021647B"/>
    <w:rsid w:val="002205F9"/>
    <w:rsid w:val="002230D3"/>
    <w:rsid w:val="00223E35"/>
    <w:rsid w:val="00224646"/>
    <w:rsid w:val="00226677"/>
    <w:rsid w:val="00227527"/>
    <w:rsid w:val="00230244"/>
    <w:rsid w:val="00230D21"/>
    <w:rsid w:val="00232BA0"/>
    <w:rsid w:val="00232F0A"/>
    <w:rsid w:val="00237C0C"/>
    <w:rsid w:val="00243114"/>
    <w:rsid w:val="002447D9"/>
    <w:rsid w:val="00247613"/>
    <w:rsid w:val="00250D16"/>
    <w:rsid w:val="00252655"/>
    <w:rsid w:val="002538B7"/>
    <w:rsid w:val="002545C2"/>
    <w:rsid w:val="002563A5"/>
    <w:rsid w:val="00260C99"/>
    <w:rsid w:val="00260D8C"/>
    <w:rsid w:val="00264980"/>
    <w:rsid w:val="00266D0B"/>
    <w:rsid w:val="002679B0"/>
    <w:rsid w:val="00274AC4"/>
    <w:rsid w:val="002753E6"/>
    <w:rsid w:val="00277643"/>
    <w:rsid w:val="00277B0A"/>
    <w:rsid w:val="00280E51"/>
    <w:rsid w:val="00281A9B"/>
    <w:rsid w:val="002905AB"/>
    <w:rsid w:val="00292CB7"/>
    <w:rsid w:val="00295177"/>
    <w:rsid w:val="0029524D"/>
    <w:rsid w:val="00297980"/>
    <w:rsid w:val="002A014B"/>
    <w:rsid w:val="002A17FA"/>
    <w:rsid w:val="002A3934"/>
    <w:rsid w:val="002A57A0"/>
    <w:rsid w:val="002A5ADC"/>
    <w:rsid w:val="002A5F9D"/>
    <w:rsid w:val="002A7019"/>
    <w:rsid w:val="002B099E"/>
    <w:rsid w:val="002B272C"/>
    <w:rsid w:val="002B57FE"/>
    <w:rsid w:val="002B587C"/>
    <w:rsid w:val="002B5EA9"/>
    <w:rsid w:val="002C28D0"/>
    <w:rsid w:val="002C2ADF"/>
    <w:rsid w:val="002C451B"/>
    <w:rsid w:val="002C53E5"/>
    <w:rsid w:val="002C789E"/>
    <w:rsid w:val="002D0676"/>
    <w:rsid w:val="002D1E6A"/>
    <w:rsid w:val="002D2B84"/>
    <w:rsid w:val="002E0983"/>
    <w:rsid w:val="002E22A7"/>
    <w:rsid w:val="002E5205"/>
    <w:rsid w:val="002F0270"/>
    <w:rsid w:val="002F051F"/>
    <w:rsid w:val="002F0FB5"/>
    <w:rsid w:val="002F4FEF"/>
    <w:rsid w:val="002F6A71"/>
    <w:rsid w:val="00301CA7"/>
    <w:rsid w:val="003021AB"/>
    <w:rsid w:val="00305258"/>
    <w:rsid w:val="00305F7C"/>
    <w:rsid w:val="003066B0"/>
    <w:rsid w:val="003066DC"/>
    <w:rsid w:val="0030684C"/>
    <w:rsid w:val="003155B5"/>
    <w:rsid w:val="003167E1"/>
    <w:rsid w:val="003172C6"/>
    <w:rsid w:val="003178FD"/>
    <w:rsid w:val="00320F6E"/>
    <w:rsid w:val="0032200F"/>
    <w:rsid w:val="00325F9A"/>
    <w:rsid w:val="0033304D"/>
    <w:rsid w:val="00333AE4"/>
    <w:rsid w:val="00334C54"/>
    <w:rsid w:val="0033610C"/>
    <w:rsid w:val="00341372"/>
    <w:rsid w:val="00341BD7"/>
    <w:rsid w:val="003457C1"/>
    <w:rsid w:val="003515D0"/>
    <w:rsid w:val="00353F62"/>
    <w:rsid w:val="003569F0"/>
    <w:rsid w:val="00357470"/>
    <w:rsid w:val="003619B5"/>
    <w:rsid w:val="00361F52"/>
    <w:rsid w:val="003653F3"/>
    <w:rsid w:val="003664AF"/>
    <w:rsid w:val="003666D2"/>
    <w:rsid w:val="00366E0A"/>
    <w:rsid w:val="00367631"/>
    <w:rsid w:val="00367A9B"/>
    <w:rsid w:val="00367EF6"/>
    <w:rsid w:val="0037394A"/>
    <w:rsid w:val="003747C6"/>
    <w:rsid w:val="003778F3"/>
    <w:rsid w:val="00377B1B"/>
    <w:rsid w:val="00377E86"/>
    <w:rsid w:val="003819F1"/>
    <w:rsid w:val="003821F4"/>
    <w:rsid w:val="003823B8"/>
    <w:rsid w:val="00383D3D"/>
    <w:rsid w:val="00385020"/>
    <w:rsid w:val="00385FC5"/>
    <w:rsid w:val="00391AEF"/>
    <w:rsid w:val="00392BD1"/>
    <w:rsid w:val="003A06DD"/>
    <w:rsid w:val="003A0EE6"/>
    <w:rsid w:val="003A0F88"/>
    <w:rsid w:val="003A5B1E"/>
    <w:rsid w:val="003A6B48"/>
    <w:rsid w:val="003A6DDF"/>
    <w:rsid w:val="003B1D25"/>
    <w:rsid w:val="003B25D2"/>
    <w:rsid w:val="003B75FB"/>
    <w:rsid w:val="003C3778"/>
    <w:rsid w:val="003C5664"/>
    <w:rsid w:val="003C6269"/>
    <w:rsid w:val="003C6C69"/>
    <w:rsid w:val="003D1274"/>
    <w:rsid w:val="003D128D"/>
    <w:rsid w:val="003D21F3"/>
    <w:rsid w:val="003D71A0"/>
    <w:rsid w:val="003D79C8"/>
    <w:rsid w:val="003D7ACA"/>
    <w:rsid w:val="003E09DC"/>
    <w:rsid w:val="003E1F27"/>
    <w:rsid w:val="003E596E"/>
    <w:rsid w:val="003E6287"/>
    <w:rsid w:val="003E6C1F"/>
    <w:rsid w:val="003F2632"/>
    <w:rsid w:val="003F34D7"/>
    <w:rsid w:val="003F3DAE"/>
    <w:rsid w:val="003F64A9"/>
    <w:rsid w:val="003F7778"/>
    <w:rsid w:val="00400614"/>
    <w:rsid w:val="00402437"/>
    <w:rsid w:val="004024C4"/>
    <w:rsid w:val="004043DE"/>
    <w:rsid w:val="0040524D"/>
    <w:rsid w:val="0040585B"/>
    <w:rsid w:val="0040770B"/>
    <w:rsid w:val="00407750"/>
    <w:rsid w:val="004127D8"/>
    <w:rsid w:val="00413CAD"/>
    <w:rsid w:val="00417B34"/>
    <w:rsid w:val="00417B9B"/>
    <w:rsid w:val="00423016"/>
    <w:rsid w:val="0042520A"/>
    <w:rsid w:val="004253CE"/>
    <w:rsid w:val="00425D00"/>
    <w:rsid w:val="00427950"/>
    <w:rsid w:val="00432A0A"/>
    <w:rsid w:val="00434DCB"/>
    <w:rsid w:val="00435547"/>
    <w:rsid w:val="004358ED"/>
    <w:rsid w:val="004407D2"/>
    <w:rsid w:val="004424FD"/>
    <w:rsid w:val="0044340B"/>
    <w:rsid w:val="00443E11"/>
    <w:rsid w:val="004467A9"/>
    <w:rsid w:val="00447575"/>
    <w:rsid w:val="004509F2"/>
    <w:rsid w:val="00453284"/>
    <w:rsid w:val="00457395"/>
    <w:rsid w:val="0046319F"/>
    <w:rsid w:val="00463742"/>
    <w:rsid w:val="00470046"/>
    <w:rsid w:val="00471770"/>
    <w:rsid w:val="00471D27"/>
    <w:rsid w:val="00476F8A"/>
    <w:rsid w:val="00480CA0"/>
    <w:rsid w:val="00484700"/>
    <w:rsid w:val="00490696"/>
    <w:rsid w:val="00490C70"/>
    <w:rsid w:val="004911CF"/>
    <w:rsid w:val="004913EC"/>
    <w:rsid w:val="0049456A"/>
    <w:rsid w:val="004A4FEC"/>
    <w:rsid w:val="004A6F52"/>
    <w:rsid w:val="004B167D"/>
    <w:rsid w:val="004B1B8B"/>
    <w:rsid w:val="004B2DF6"/>
    <w:rsid w:val="004B485E"/>
    <w:rsid w:val="004B63CB"/>
    <w:rsid w:val="004C36F0"/>
    <w:rsid w:val="004C45E2"/>
    <w:rsid w:val="004C4908"/>
    <w:rsid w:val="004C50DE"/>
    <w:rsid w:val="004C59F5"/>
    <w:rsid w:val="004C5C6A"/>
    <w:rsid w:val="004C5F07"/>
    <w:rsid w:val="004C6336"/>
    <w:rsid w:val="004C66C2"/>
    <w:rsid w:val="004C7E3F"/>
    <w:rsid w:val="004D040D"/>
    <w:rsid w:val="004D04CD"/>
    <w:rsid w:val="004D0AB4"/>
    <w:rsid w:val="004D16D7"/>
    <w:rsid w:val="004D42A8"/>
    <w:rsid w:val="004D4FF9"/>
    <w:rsid w:val="004D65F1"/>
    <w:rsid w:val="004D6E12"/>
    <w:rsid w:val="004D7A7F"/>
    <w:rsid w:val="004E2B5F"/>
    <w:rsid w:val="004E4B8D"/>
    <w:rsid w:val="004E4CCA"/>
    <w:rsid w:val="004E52A1"/>
    <w:rsid w:val="004E5E4A"/>
    <w:rsid w:val="004E6626"/>
    <w:rsid w:val="004F035C"/>
    <w:rsid w:val="004F6A19"/>
    <w:rsid w:val="00502AE9"/>
    <w:rsid w:val="0050574A"/>
    <w:rsid w:val="00507045"/>
    <w:rsid w:val="00511B1B"/>
    <w:rsid w:val="00511FDE"/>
    <w:rsid w:val="00514ACB"/>
    <w:rsid w:val="00514EA4"/>
    <w:rsid w:val="00516376"/>
    <w:rsid w:val="00517550"/>
    <w:rsid w:val="00517F39"/>
    <w:rsid w:val="00524823"/>
    <w:rsid w:val="00526FEF"/>
    <w:rsid w:val="00527FBC"/>
    <w:rsid w:val="0053031F"/>
    <w:rsid w:val="005313B6"/>
    <w:rsid w:val="005318D5"/>
    <w:rsid w:val="00540A1A"/>
    <w:rsid w:val="005444D9"/>
    <w:rsid w:val="00550A15"/>
    <w:rsid w:val="0055460A"/>
    <w:rsid w:val="00555C93"/>
    <w:rsid w:val="00555DEC"/>
    <w:rsid w:val="00556870"/>
    <w:rsid w:val="005571BE"/>
    <w:rsid w:val="0056050D"/>
    <w:rsid w:val="005612C6"/>
    <w:rsid w:val="005618E7"/>
    <w:rsid w:val="00561C2F"/>
    <w:rsid w:val="00561C3C"/>
    <w:rsid w:val="0056641D"/>
    <w:rsid w:val="0056712C"/>
    <w:rsid w:val="00573C8E"/>
    <w:rsid w:val="005744C6"/>
    <w:rsid w:val="00576A93"/>
    <w:rsid w:val="00581877"/>
    <w:rsid w:val="00583B19"/>
    <w:rsid w:val="00584E73"/>
    <w:rsid w:val="00585237"/>
    <w:rsid w:val="00587A16"/>
    <w:rsid w:val="00591DEB"/>
    <w:rsid w:val="0059309D"/>
    <w:rsid w:val="005936C5"/>
    <w:rsid w:val="00593766"/>
    <w:rsid w:val="00593E6E"/>
    <w:rsid w:val="00596BAA"/>
    <w:rsid w:val="00597586"/>
    <w:rsid w:val="005A3179"/>
    <w:rsid w:val="005A4B6C"/>
    <w:rsid w:val="005A766E"/>
    <w:rsid w:val="005B007E"/>
    <w:rsid w:val="005B104E"/>
    <w:rsid w:val="005B319C"/>
    <w:rsid w:val="005B4AE9"/>
    <w:rsid w:val="005B4B69"/>
    <w:rsid w:val="005B5D65"/>
    <w:rsid w:val="005C0914"/>
    <w:rsid w:val="005C33A5"/>
    <w:rsid w:val="005C4199"/>
    <w:rsid w:val="005C4F08"/>
    <w:rsid w:val="005C5BD1"/>
    <w:rsid w:val="005C6983"/>
    <w:rsid w:val="005C6EAC"/>
    <w:rsid w:val="005C7014"/>
    <w:rsid w:val="005C7B00"/>
    <w:rsid w:val="005C7E16"/>
    <w:rsid w:val="005E1640"/>
    <w:rsid w:val="005E1E2E"/>
    <w:rsid w:val="005E40B8"/>
    <w:rsid w:val="005E62A0"/>
    <w:rsid w:val="005F1788"/>
    <w:rsid w:val="005F1AE2"/>
    <w:rsid w:val="005F2680"/>
    <w:rsid w:val="005F2B5B"/>
    <w:rsid w:val="005F2E6E"/>
    <w:rsid w:val="005F3735"/>
    <w:rsid w:val="005F3E7C"/>
    <w:rsid w:val="00603793"/>
    <w:rsid w:val="00604E60"/>
    <w:rsid w:val="0061062E"/>
    <w:rsid w:val="00611ECE"/>
    <w:rsid w:val="00612CC8"/>
    <w:rsid w:val="00612EC2"/>
    <w:rsid w:val="0061324D"/>
    <w:rsid w:val="0061365B"/>
    <w:rsid w:val="00614898"/>
    <w:rsid w:val="00617367"/>
    <w:rsid w:val="006177DA"/>
    <w:rsid w:val="00625876"/>
    <w:rsid w:val="006276B7"/>
    <w:rsid w:val="00633ABA"/>
    <w:rsid w:val="00635F85"/>
    <w:rsid w:val="00640259"/>
    <w:rsid w:val="00642459"/>
    <w:rsid w:val="00646075"/>
    <w:rsid w:val="0064787E"/>
    <w:rsid w:val="00647ABE"/>
    <w:rsid w:val="00651B70"/>
    <w:rsid w:val="00653E1A"/>
    <w:rsid w:val="00653F0C"/>
    <w:rsid w:val="00653F8E"/>
    <w:rsid w:val="006568BD"/>
    <w:rsid w:val="00664C39"/>
    <w:rsid w:val="00666E35"/>
    <w:rsid w:val="006678DC"/>
    <w:rsid w:val="006727DE"/>
    <w:rsid w:val="00672EC3"/>
    <w:rsid w:val="00674DCE"/>
    <w:rsid w:val="0067761E"/>
    <w:rsid w:val="00677B5B"/>
    <w:rsid w:val="006819D4"/>
    <w:rsid w:val="006820E0"/>
    <w:rsid w:val="00684583"/>
    <w:rsid w:val="00684843"/>
    <w:rsid w:val="00690434"/>
    <w:rsid w:val="00690CBD"/>
    <w:rsid w:val="00690E21"/>
    <w:rsid w:val="00693E81"/>
    <w:rsid w:val="006962CC"/>
    <w:rsid w:val="00696B36"/>
    <w:rsid w:val="006A0434"/>
    <w:rsid w:val="006A0E06"/>
    <w:rsid w:val="006A3674"/>
    <w:rsid w:val="006A5538"/>
    <w:rsid w:val="006A6447"/>
    <w:rsid w:val="006A7FD6"/>
    <w:rsid w:val="006B0611"/>
    <w:rsid w:val="006B41DA"/>
    <w:rsid w:val="006B5FDD"/>
    <w:rsid w:val="006B64EB"/>
    <w:rsid w:val="006B7B1A"/>
    <w:rsid w:val="006C4723"/>
    <w:rsid w:val="006D18B8"/>
    <w:rsid w:val="006D3FF3"/>
    <w:rsid w:val="006D4B15"/>
    <w:rsid w:val="006D593F"/>
    <w:rsid w:val="006D5CC8"/>
    <w:rsid w:val="006E0865"/>
    <w:rsid w:val="006E0DD8"/>
    <w:rsid w:val="006E1DC0"/>
    <w:rsid w:val="006E36C4"/>
    <w:rsid w:val="006E7BDB"/>
    <w:rsid w:val="006F549D"/>
    <w:rsid w:val="006F6A57"/>
    <w:rsid w:val="00700467"/>
    <w:rsid w:val="00703235"/>
    <w:rsid w:val="00705511"/>
    <w:rsid w:val="007068BF"/>
    <w:rsid w:val="007078F4"/>
    <w:rsid w:val="007129C1"/>
    <w:rsid w:val="00713A06"/>
    <w:rsid w:val="00720623"/>
    <w:rsid w:val="0072104A"/>
    <w:rsid w:val="00723B60"/>
    <w:rsid w:val="00724ACE"/>
    <w:rsid w:val="0072637E"/>
    <w:rsid w:val="00734106"/>
    <w:rsid w:val="007366B3"/>
    <w:rsid w:val="00736986"/>
    <w:rsid w:val="007370F7"/>
    <w:rsid w:val="007409B1"/>
    <w:rsid w:val="00741011"/>
    <w:rsid w:val="00743961"/>
    <w:rsid w:val="00747072"/>
    <w:rsid w:val="0074731B"/>
    <w:rsid w:val="00747A3B"/>
    <w:rsid w:val="00752458"/>
    <w:rsid w:val="00752A59"/>
    <w:rsid w:val="00755439"/>
    <w:rsid w:val="00755490"/>
    <w:rsid w:val="00763F10"/>
    <w:rsid w:val="00771765"/>
    <w:rsid w:val="00772046"/>
    <w:rsid w:val="00772954"/>
    <w:rsid w:val="00775435"/>
    <w:rsid w:val="0078000C"/>
    <w:rsid w:val="00780293"/>
    <w:rsid w:val="00780C08"/>
    <w:rsid w:val="00782532"/>
    <w:rsid w:val="0078278E"/>
    <w:rsid w:val="007829C9"/>
    <w:rsid w:val="00782D93"/>
    <w:rsid w:val="00783872"/>
    <w:rsid w:val="007846A4"/>
    <w:rsid w:val="00785BAD"/>
    <w:rsid w:val="0078745E"/>
    <w:rsid w:val="00790539"/>
    <w:rsid w:val="007972D0"/>
    <w:rsid w:val="00797DD5"/>
    <w:rsid w:val="007A54D3"/>
    <w:rsid w:val="007B038C"/>
    <w:rsid w:val="007B0E08"/>
    <w:rsid w:val="007B1BA0"/>
    <w:rsid w:val="007B380A"/>
    <w:rsid w:val="007B5704"/>
    <w:rsid w:val="007C02A4"/>
    <w:rsid w:val="007C0ACC"/>
    <w:rsid w:val="007C2645"/>
    <w:rsid w:val="007C4614"/>
    <w:rsid w:val="007C48E3"/>
    <w:rsid w:val="007C5C35"/>
    <w:rsid w:val="007C5E58"/>
    <w:rsid w:val="007D0962"/>
    <w:rsid w:val="007D0C6D"/>
    <w:rsid w:val="007D3313"/>
    <w:rsid w:val="007D4084"/>
    <w:rsid w:val="007D5CAF"/>
    <w:rsid w:val="007D69B3"/>
    <w:rsid w:val="007D6FD6"/>
    <w:rsid w:val="007E6529"/>
    <w:rsid w:val="007E6BAB"/>
    <w:rsid w:val="007F3AF7"/>
    <w:rsid w:val="007F69E1"/>
    <w:rsid w:val="007F7EF6"/>
    <w:rsid w:val="00800E82"/>
    <w:rsid w:val="00803759"/>
    <w:rsid w:val="00804A33"/>
    <w:rsid w:val="008104D0"/>
    <w:rsid w:val="008109F2"/>
    <w:rsid w:val="00814370"/>
    <w:rsid w:val="008146F9"/>
    <w:rsid w:val="00821A20"/>
    <w:rsid w:val="00824150"/>
    <w:rsid w:val="008274EF"/>
    <w:rsid w:val="00827D50"/>
    <w:rsid w:val="00830C80"/>
    <w:rsid w:val="0083350B"/>
    <w:rsid w:val="00835A63"/>
    <w:rsid w:val="008361D9"/>
    <w:rsid w:val="00842BE5"/>
    <w:rsid w:val="008430F8"/>
    <w:rsid w:val="00844B7F"/>
    <w:rsid w:val="00844F62"/>
    <w:rsid w:val="00845091"/>
    <w:rsid w:val="00850110"/>
    <w:rsid w:val="00851125"/>
    <w:rsid w:val="00855F76"/>
    <w:rsid w:val="00856774"/>
    <w:rsid w:val="00862599"/>
    <w:rsid w:val="00866C45"/>
    <w:rsid w:val="00867114"/>
    <w:rsid w:val="0087035F"/>
    <w:rsid w:val="008708BB"/>
    <w:rsid w:val="00871F21"/>
    <w:rsid w:val="00873129"/>
    <w:rsid w:val="00873298"/>
    <w:rsid w:val="00874239"/>
    <w:rsid w:val="008752ED"/>
    <w:rsid w:val="00875382"/>
    <w:rsid w:val="008755F9"/>
    <w:rsid w:val="00876442"/>
    <w:rsid w:val="008771F7"/>
    <w:rsid w:val="008772C8"/>
    <w:rsid w:val="00880E54"/>
    <w:rsid w:val="00881003"/>
    <w:rsid w:val="00883017"/>
    <w:rsid w:val="0088531D"/>
    <w:rsid w:val="00887007"/>
    <w:rsid w:val="008879D5"/>
    <w:rsid w:val="00887BAB"/>
    <w:rsid w:val="008914AE"/>
    <w:rsid w:val="00892380"/>
    <w:rsid w:val="00892569"/>
    <w:rsid w:val="008926FA"/>
    <w:rsid w:val="008933BD"/>
    <w:rsid w:val="00894E5B"/>
    <w:rsid w:val="008965F0"/>
    <w:rsid w:val="00896C87"/>
    <w:rsid w:val="008A214C"/>
    <w:rsid w:val="008A2A0F"/>
    <w:rsid w:val="008A4D9C"/>
    <w:rsid w:val="008A5048"/>
    <w:rsid w:val="008A59D7"/>
    <w:rsid w:val="008A5FC6"/>
    <w:rsid w:val="008A6362"/>
    <w:rsid w:val="008B182C"/>
    <w:rsid w:val="008B3354"/>
    <w:rsid w:val="008C23BE"/>
    <w:rsid w:val="008C2C66"/>
    <w:rsid w:val="008C5C7B"/>
    <w:rsid w:val="008C738B"/>
    <w:rsid w:val="008C7F8E"/>
    <w:rsid w:val="008D2F9D"/>
    <w:rsid w:val="008D598C"/>
    <w:rsid w:val="008D670E"/>
    <w:rsid w:val="008D7B4D"/>
    <w:rsid w:val="008E090C"/>
    <w:rsid w:val="008E0918"/>
    <w:rsid w:val="008E160A"/>
    <w:rsid w:val="008E1A8B"/>
    <w:rsid w:val="008E1F40"/>
    <w:rsid w:val="008E60AC"/>
    <w:rsid w:val="008F055C"/>
    <w:rsid w:val="008F08B6"/>
    <w:rsid w:val="008F2A0B"/>
    <w:rsid w:val="008F35F8"/>
    <w:rsid w:val="008F4348"/>
    <w:rsid w:val="008F4C5C"/>
    <w:rsid w:val="008F68D1"/>
    <w:rsid w:val="008F76C5"/>
    <w:rsid w:val="0090073D"/>
    <w:rsid w:val="00900C5B"/>
    <w:rsid w:val="00902579"/>
    <w:rsid w:val="0090718C"/>
    <w:rsid w:val="00912580"/>
    <w:rsid w:val="009147E0"/>
    <w:rsid w:val="00915A19"/>
    <w:rsid w:val="00916516"/>
    <w:rsid w:val="00921DA1"/>
    <w:rsid w:val="00922EB3"/>
    <w:rsid w:val="009264CA"/>
    <w:rsid w:val="00926AAF"/>
    <w:rsid w:val="00930455"/>
    <w:rsid w:val="009305E2"/>
    <w:rsid w:val="009324E2"/>
    <w:rsid w:val="009338E9"/>
    <w:rsid w:val="00935A79"/>
    <w:rsid w:val="00936F8E"/>
    <w:rsid w:val="00936FAA"/>
    <w:rsid w:val="009447B1"/>
    <w:rsid w:val="00944D3E"/>
    <w:rsid w:val="0094768A"/>
    <w:rsid w:val="009526C4"/>
    <w:rsid w:val="0095384C"/>
    <w:rsid w:val="00955AE5"/>
    <w:rsid w:val="00967051"/>
    <w:rsid w:val="009707E2"/>
    <w:rsid w:val="00970D5B"/>
    <w:rsid w:val="00971F3C"/>
    <w:rsid w:val="0097271A"/>
    <w:rsid w:val="009730CA"/>
    <w:rsid w:val="009736FC"/>
    <w:rsid w:val="00975F95"/>
    <w:rsid w:val="0097636A"/>
    <w:rsid w:val="00976896"/>
    <w:rsid w:val="00976932"/>
    <w:rsid w:val="00976D4C"/>
    <w:rsid w:val="0098012E"/>
    <w:rsid w:val="00981F1E"/>
    <w:rsid w:val="009906E4"/>
    <w:rsid w:val="009926D7"/>
    <w:rsid w:val="00992FBE"/>
    <w:rsid w:val="009930AF"/>
    <w:rsid w:val="00994041"/>
    <w:rsid w:val="00995CDD"/>
    <w:rsid w:val="00995DE8"/>
    <w:rsid w:val="00996517"/>
    <w:rsid w:val="00996AC6"/>
    <w:rsid w:val="009978A0"/>
    <w:rsid w:val="009A0280"/>
    <w:rsid w:val="009A1E44"/>
    <w:rsid w:val="009A27E8"/>
    <w:rsid w:val="009A460F"/>
    <w:rsid w:val="009A578A"/>
    <w:rsid w:val="009A5929"/>
    <w:rsid w:val="009A5BF0"/>
    <w:rsid w:val="009A6CFD"/>
    <w:rsid w:val="009B10BC"/>
    <w:rsid w:val="009B2553"/>
    <w:rsid w:val="009B2939"/>
    <w:rsid w:val="009B4E88"/>
    <w:rsid w:val="009B500F"/>
    <w:rsid w:val="009B5672"/>
    <w:rsid w:val="009B5C66"/>
    <w:rsid w:val="009B649A"/>
    <w:rsid w:val="009C08A6"/>
    <w:rsid w:val="009C2097"/>
    <w:rsid w:val="009C2B08"/>
    <w:rsid w:val="009C32D5"/>
    <w:rsid w:val="009C3EA5"/>
    <w:rsid w:val="009C6417"/>
    <w:rsid w:val="009D0DCA"/>
    <w:rsid w:val="009D3458"/>
    <w:rsid w:val="009D4819"/>
    <w:rsid w:val="009E03A6"/>
    <w:rsid w:val="009E119A"/>
    <w:rsid w:val="009E1996"/>
    <w:rsid w:val="009E1F8B"/>
    <w:rsid w:val="009E24E5"/>
    <w:rsid w:val="009E66A1"/>
    <w:rsid w:val="009F1A34"/>
    <w:rsid w:val="009F2333"/>
    <w:rsid w:val="009F4064"/>
    <w:rsid w:val="009F5442"/>
    <w:rsid w:val="009F63E8"/>
    <w:rsid w:val="00A02F04"/>
    <w:rsid w:val="00A0388C"/>
    <w:rsid w:val="00A03E7F"/>
    <w:rsid w:val="00A0431D"/>
    <w:rsid w:val="00A05836"/>
    <w:rsid w:val="00A2148B"/>
    <w:rsid w:val="00A27D84"/>
    <w:rsid w:val="00A31A98"/>
    <w:rsid w:val="00A32B84"/>
    <w:rsid w:val="00A33BF0"/>
    <w:rsid w:val="00A379B5"/>
    <w:rsid w:val="00A40EDE"/>
    <w:rsid w:val="00A424B6"/>
    <w:rsid w:val="00A50DC6"/>
    <w:rsid w:val="00A50E91"/>
    <w:rsid w:val="00A50EC9"/>
    <w:rsid w:val="00A514A9"/>
    <w:rsid w:val="00A51DB8"/>
    <w:rsid w:val="00A52B96"/>
    <w:rsid w:val="00A552A4"/>
    <w:rsid w:val="00A60BD3"/>
    <w:rsid w:val="00A61D55"/>
    <w:rsid w:val="00A6509B"/>
    <w:rsid w:val="00A656EA"/>
    <w:rsid w:val="00A6717F"/>
    <w:rsid w:val="00A67481"/>
    <w:rsid w:val="00A7003B"/>
    <w:rsid w:val="00A70E5E"/>
    <w:rsid w:val="00A717A0"/>
    <w:rsid w:val="00A7469E"/>
    <w:rsid w:val="00A768BF"/>
    <w:rsid w:val="00A811F0"/>
    <w:rsid w:val="00A81B85"/>
    <w:rsid w:val="00A845D8"/>
    <w:rsid w:val="00A8613D"/>
    <w:rsid w:val="00A91A52"/>
    <w:rsid w:val="00A92292"/>
    <w:rsid w:val="00A93AEA"/>
    <w:rsid w:val="00A93B95"/>
    <w:rsid w:val="00A94AC1"/>
    <w:rsid w:val="00A94F6A"/>
    <w:rsid w:val="00A95269"/>
    <w:rsid w:val="00A96005"/>
    <w:rsid w:val="00AA0ABA"/>
    <w:rsid w:val="00AA0C7A"/>
    <w:rsid w:val="00AA1BAD"/>
    <w:rsid w:val="00AA4766"/>
    <w:rsid w:val="00AA657D"/>
    <w:rsid w:val="00AA7BBA"/>
    <w:rsid w:val="00AB1928"/>
    <w:rsid w:val="00AB2384"/>
    <w:rsid w:val="00AB3F36"/>
    <w:rsid w:val="00AB4965"/>
    <w:rsid w:val="00AB4EFA"/>
    <w:rsid w:val="00AB5525"/>
    <w:rsid w:val="00AB6EA0"/>
    <w:rsid w:val="00AC11DB"/>
    <w:rsid w:val="00AC2852"/>
    <w:rsid w:val="00AC4305"/>
    <w:rsid w:val="00AC4B41"/>
    <w:rsid w:val="00AC4B43"/>
    <w:rsid w:val="00AC62D2"/>
    <w:rsid w:val="00AC7247"/>
    <w:rsid w:val="00AC77FA"/>
    <w:rsid w:val="00AD1D09"/>
    <w:rsid w:val="00AD256A"/>
    <w:rsid w:val="00AD25EC"/>
    <w:rsid w:val="00AD411C"/>
    <w:rsid w:val="00AD6C0B"/>
    <w:rsid w:val="00AD7135"/>
    <w:rsid w:val="00AE0FDA"/>
    <w:rsid w:val="00AE1A73"/>
    <w:rsid w:val="00AE3DA3"/>
    <w:rsid w:val="00AE77C9"/>
    <w:rsid w:val="00AF4075"/>
    <w:rsid w:val="00AF44B8"/>
    <w:rsid w:val="00B001AA"/>
    <w:rsid w:val="00B013DB"/>
    <w:rsid w:val="00B06BF8"/>
    <w:rsid w:val="00B13070"/>
    <w:rsid w:val="00B13E0D"/>
    <w:rsid w:val="00B14384"/>
    <w:rsid w:val="00B146FD"/>
    <w:rsid w:val="00B14E0A"/>
    <w:rsid w:val="00B15345"/>
    <w:rsid w:val="00B17E85"/>
    <w:rsid w:val="00B21036"/>
    <w:rsid w:val="00B22BFC"/>
    <w:rsid w:val="00B22E82"/>
    <w:rsid w:val="00B24B61"/>
    <w:rsid w:val="00B25B32"/>
    <w:rsid w:val="00B30CC4"/>
    <w:rsid w:val="00B35DE4"/>
    <w:rsid w:val="00B374EE"/>
    <w:rsid w:val="00B40216"/>
    <w:rsid w:val="00B4141F"/>
    <w:rsid w:val="00B41B58"/>
    <w:rsid w:val="00B41EDB"/>
    <w:rsid w:val="00B43B3E"/>
    <w:rsid w:val="00B44AE8"/>
    <w:rsid w:val="00B464B9"/>
    <w:rsid w:val="00B46950"/>
    <w:rsid w:val="00B50309"/>
    <w:rsid w:val="00B51D5E"/>
    <w:rsid w:val="00B5488B"/>
    <w:rsid w:val="00B54A2F"/>
    <w:rsid w:val="00B55E31"/>
    <w:rsid w:val="00B560B0"/>
    <w:rsid w:val="00B65224"/>
    <w:rsid w:val="00B65705"/>
    <w:rsid w:val="00B659EF"/>
    <w:rsid w:val="00B65A1B"/>
    <w:rsid w:val="00B70FE0"/>
    <w:rsid w:val="00B81035"/>
    <w:rsid w:val="00B92458"/>
    <w:rsid w:val="00B93F61"/>
    <w:rsid w:val="00B946F1"/>
    <w:rsid w:val="00B95E23"/>
    <w:rsid w:val="00B96185"/>
    <w:rsid w:val="00BA1F4B"/>
    <w:rsid w:val="00BA303F"/>
    <w:rsid w:val="00BB0542"/>
    <w:rsid w:val="00BB12D2"/>
    <w:rsid w:val="00BB1806"/>
    <w:rsid w:val="00BB25AE"/>
    <w:rsid w:val="00BB38E0"/>
    <w:rsid w:val="00BB3BD8"/>
    <w:rsid w:val="00BB4BA7"/>
    <w:rsid w:val="00BC21AA"/>
    <w:rsid w:val="00BC2C67"/>
    <w:rsid w:val="00BC4395"/>
    <w:rsid w:val="00BC5C94"/>
    <w:rsid w:val="00BD429A"/>
    <w:rsid w:val="00BD651A"/>
    <w:rsid w:val="00BD651B"/>
    <w:rsid w:val="00BD666E"/>
    <w:rsid w:val="00BD7808"/>
    <w:rsid w:val="00BD7B63"/>
    <w:rsid w:val="00BE1F60"/>
    <w:rsid w:val="00BE27BF"/>
    <w:rsid w:val="00BE3228"/>
    <w:rsid w:val="00BE405E"/>
    <w:rsid w:val="00BE60E0"/>
    <w:rsid w:val="00BE7D88"/>
    <w:rsid w:val="00BF2788"/>
    <w:rsid w:val="00BF2CE9"/>
    <w:rsid w:val="00BF576B"/>
    <w:rsid w:val="00BF5961"/>
    <w:rsid w:val="00BF5C87"/>
    <w:rsid w:val="00BF7F48"/>
    <w:rsid w:val="00BF7F98"/>
    <w:rsid w:val="00C027B1"/>
    <w:rsid w:val="00C03234"/>
    <w:rsid w:val="00C034B5"/>
    <w:rsid w:val="00C24A6B"/>
    <w:rsid w:val="00C27D42"/>
    <w:rsid w:val="00C30AB2"/>
    <w:rsid w:val="00C30AE8"/>
    <w:rsid w:val="00C32AEC"/>
    <w:rsid w:val="00C32E56"/>
    <w:rsid w:val="00C36A78"/>
    <w:rsid w:val="00C376A6"/>
    <w:rsid w:val="00C42555"/>
    <w:rsid w:val="00C4509B"/>
    <w:rsid w:val="00C4675D"/>
    <w:rsid w:val="00C47666"/>
    <w:rsid w:val="00C50810"/>
    <w:rsid w:val="00C51047"/>
    <w:rsid w:val="00C54E7B"/>
    <w:rsid w:val="00C55EA0"/>
    <w:rsid w:val="00C60168"/>
    <w:rsid w:val="00C61C34"/>
    <w:rsid w:val="00C65ED3"/>
    <w:rsid w:val="00C66D3E"/>
    <w:rsid w:val="00C7193A"/>
    <w:rsid w:val="00C74431"/>
    <w:rsid w:val="00C75513"/>
    <w:rsid w:val="00C771A8"/>
    <w:rsid w:val="00C8439C"/>
    <w:rsid w:val="00C85B6D"/>
    <w:rsid w:val="00C8681F"/>
    <w:rsid w:val="00C90EFC"/>
    <w:rsid w:val="00C91559"/>
    <w:rsid w:val="00C9265A"/>
    <w:rsid w:val="00C9599C"/>
    <w:rsid w:val="00C95D77"/>
    <w:rsid w:val="00C96407"/>
    <w:rsid w:val="00CA067E"/>
    <w:rsid w:val="00CA28E4"/>
    <w:rsid w:val="00CA34F8"/>
    <w:rsid w:val="00CA50D0"/>
    <w:rsid w:val="00CA6429"/>
    <w:rsid w:val="00CA6BC2"/>
    <w:rsid w:val="00CA7799"/>
    <w:rsid w:val="00CB1529"/>
    <w:rsid w:val="00CB494F"/>
    <w:rsid w:val="00CB6112"/>
    <w:rsid w:val="00CB7380"/>
    <w:rsid w:val="00CC6168"/>
    <w:rsid w:val="00CC6FEA"/>
    <w:rsid w:val="00CC7000"/>
    <w:rsid w:val="00CD2500"/>
    <w:rsid w:val="00CD4DB6"/>
    <w:rsid w:val="00CD6992"/>
    <w:rsid w:val="00CE03F8"/>
    <w:rsid w:val="00CE108D"/>
    <w:rsid w:val="00CF4450"/>
    <w:rsid w:val="00CF4880"/>
    <w:rsid w:val="00CF4EFA"/>
    <w:rsid w:val="00CF5968"/>
    <w:rsid w:val="00CF678E"/>
    <w:rsid w:val="00D06BC3"/>
    <w:rsid w:val="00D06C4C"/>
    <w:rsid w:val="00D11AF5"/>
    <w:rsid w:val="00D12C60"/>
    <w:rsid w:val="00D13A18"/>
    <w:rsid w:val="00D1698C"/>
    <w:rsid w:val="00D16B9A"/>
    <w:rsid w:val="00D1782A"/>
    <w:rsid w:val="00D17F8B"/>
    <w:rsid w:val="00D21184"/>
    <w:rsid w:val="00D22266"/>
    <w:rsid w:val="00D26044"/>
    <w:rsid w:val="00D314E0"/>
    <w:rsid w:val="00D32842"/>
    <w:rsid w:val="00D32A61"/>
    <w:rsid w:val="00D35932"/>
    <w:rsid w:val="00D379DA"/>
    <w:rsid w:val="00D450EE"/>
    <w:rsid w:val="00D453AE"/>
    <w:rsid w:val="00D46C11"/>
    <w:rsid w:val="00D47022"/>
    <w:rsid w:val="00D470E2"/>
    <w:rsid w:val="00D51D43"/>
    <w:rsid w:val="00D51ECF"/>
    <w:rsid w:val="00D52402"/>
    <w:rsid w:val="00D54020"/>
    <w:rsid w:val="00D54639"/>
    <w:rsid w:val="00D55A2A"/>
    <w:rsid w:val="00D56B52"/>
    <w:rsid w:val="00D6205C"/>
    <w:rsid w:val="00D64236"/>
    <w:rsid w:val="00D64688"/>
    <w:rsid w:val="00D64979"/>
    <w:rsid w:val="00D66C7A"/>
    <w:rsid w:val="00D70798"/>
    <w:rsid w:val="00D73AD2"/>
    <w:rsid w:val="00D74462"/>
    <w:rsid w:val="00D77FD7"/>
    <w:rsid w:val="00D81124"/>
    <w:rsid w:val="00D82546"/>
    <w:rsid w:val="00D82765"/>
    <w:rsid w:val="00D83CF0"/>
    <w:rsid w:val="00D8491D"/>
    <w:rsid w:val="00D84F74"/>
    <w:rsid w:val="00D861A9"/>
    <w:rsid w:val="00D9133F"/>
    <w:rsid w:val="00D91C38"/>
    <w:rsid w:val="00D93455"/>
    <w:rsid w:val="00D94E02"/>
    <w:rsid w:val="00D9622D"/>
    <w:rsid w:val="00D96874"/>
    <w:rsid w:val="00D974F2"/>
    <w:rsid w:val="00D97BE0"/>
    <w:rsid w:val="00DA2E99"/>
    <w:rsid w:val="00DB309F"/>
    <w:rsid w:val="00DB3CF8"/>
    <w:rsid w:val="00DB7906"/>
    <w:rsid w:val="00DC0B68"/>
    <w:rsid w:val="00DC3C92"/>
    <w:rsid w:val="00DD03DE"/>
    <w:rsid w:val="00DD24D4"/>
    <w:rsid w:val="00DD288E"/>
    <w:rsid w:val="00DD2A03"/>
    <w:rsid w:val="00DD2E2B"/>
    <w:rsid w:val="00DD2F4C"/>
    <w:rsid w:val="00DD3424"/>
    <w:rsid w:val="00DD3EB4"/>
    <w:rsid w:val="00DD45F1"/>
    <w:rsid w:val="00DD5A26"/>
    <w:rsid w:val="00DD61A8"/>
    <w:rsid w:val="00DD76A0"/>
    <w:rsid w:val="00DD7C1A"/>
    <w:rsid w:val="00DE0786"/>
    <w:rsid w:val="00DE191F"/>
    <w:rsid w:val="00DE306F"/>
    <w:rsid w:val="00DF3E02"/>
    <w:rsid w:val="00DF625F"/>
    <w:rsid w:val="00DF65BA"/>
    <w:rsid w:val="00E002DA"/>
    <w:rsid w:val="00E013FC"/>
    <w:rsid w:val="00E035E0"/>
    <w:rsid w:val="00E0365C"/>
    <w:rsid w:val="00E041BA"/>
    <w:rsid w:val="00E06CBA"/>
    <w:rsid w:val="00E110E9"/>
    <w:rsid w:val="00E11457"/>
    <w:rsid w:val="00E1241A"/>
    <w:rsid w:val="00E1260E"/>
    <w:rsid w:val="00E14D87"/>
    <w:rsid w:val="00E15006"/>
    <w:rsid w:val="00E20C1B"/>
    <w:rsid w:val="00E2121B"/>
    <w:rsid w:val="00E24820"/>
    <w:rsid w:val="00E24BF2"/>
    <w:rsid w:val="00E24C40"/>
    <w:rsid w:val="00E259E1"/>
    <w:rsid w:val="00E25E57"/>
    <w:rsid w:val="00E26449"/>
    <w:rsid w:val="00E3255D"/>
    <w:rsid w:val="00E35D96"/>
    <w:rsid w:val="00E36D0C"/>
    <w:rsid w:val="00E404E4"/>
    <w:rsid w:val="00E43754"/>
    <w:rsid w:val="00E43D13"/>
    <w:rsid w:val="00E45823"/>
    <w:rsid w:val="00E47D07"/>
    <w:rsid w:val="00E47EC2"/>
    <w:rsid w:val="00E50C18"/>
    <w:rsid w:val="00E514B3"/>
    <w:rsid w:val="00E5229F"/>
    <w:rsid w:val="00E6019F"/>
    <w:rsid w:val="00E60A4C"/>
    <w:rsid w:val="00E60F16"/>
    <w:rsid w:val="00E61B0C"/>
    <w:rsid w:val="00E61FB1"/>
    <w:rsid w:val="00E641C1"/>
    <w:rsid w:val="00E66F42"/>
    <w:rsid w:val="00E67105"/>
    <w:rsid w:val="00E67674"/>
    <w:rsid w:val="00E6781D"/>
    <w:rsid w:val="00E67DF6"/>
    <w:rsid w:val="00E67DFC"/>
    <w:rsid w:val="00E70AA8"/>
    <w:rsid w:val="00E70E05"/>
    <w:rsid w:val="00E713F2"/>
    <w:rsid w:val="00E72085"/>
    <w:rsid w:val="00E74838"/>
    <w:rsid w:val="00E81E2D"/>
    <w:rsid w:val="00E81ED4"/>
    <w:rsid w:val="00E8288A"/>
    <w:rsid w:val="00E82D94"/>
    <w:rsid w:val="00E90387"/>
    <w:rsid w:val="00E9495B"/>
    <w:rsid w:val="00E96CF7"/>
    <w:rsid w:val="00E9782C"/>
    <w:rsid w:val="00EA2A69"/>
    <w:rsid w:val="00EA33F7"/>
    <w:rsid w:val="00EA3FD3"/>
    <w:rsid w:val="00EA59CE"/>
    <w:rsid w:val="00EB0175"/>
    <w:rsid w:val="00EB0F6A"/>
    <w:rsid w:val="00EB37EF"/>
    <w:rsid w:val="00EB3D0E"/>
    <w:rsid w:val="00EB4765"/>
    <w:rsid w:val="00EB5148"/>
    <w:rsid w:val="00EC1AEB"/>
    <w:rsid w:val="00EC1F76"/>
    <w:rsid w:val="00EC29F1"/>
    <w:rsid w:val="00EC7A49"/>
    <w:rsid w:val="00ED0144"/>
    <w:rsid w:val="00ED11A2"/>
    <w:rsid w:val="00ED381D"/>
    <w:rsid w:val="00ED43FF"/>
    <w:rsid w:val="00EE2852"/>
    <w:rsid w:val="00EE374E"/>
    <w:rsid w:val="00EE5ADA"/>
    <w:rsid w:val="00EF0D59"/>
    <w:rsid w:val="00EF1A11"/>
    <w:rsid w:val="00EF20CD"/>
    <w:rsid w:val="00F0013C"/>
    <w:rsid w:val="00F008A3"/>
    <w:rsid w:val="00F00AB1"/>
    <w:rsid w:val="00F03A9C"/>
    <w:rsid w:val="00F0400D"/>
    <w:rsid w:val="00F05A5D"/>
    <w:rsid w:val="00F063C1"/>
    <w:rsid w:val="00F06746"/>
    <w:rsid w:val="00F07E7A"/>
    <w:rsid w:val="00F1008A"/>
    <w:rsid w:val="00F1043B"/>
    <w:rsid w:val="00F12D8B"/>
    <w:rsid w:val="00F17632"/>
    <w:rsid w:val="00F21D00"/>
    <w:rsid w:val="00F243F0"/>
    <w:rsid w:val="00F2494B"/>
    <w:rsid w:val="00F24AEB"/>
    <w:rsid w:val="00F31592"/>
    <w:rsid w:val="00F35262"/>
    <w:rsid w:val="00F37D25"/>
    <w:rsid w:val="00F40E13"/>
    <w:rsid w:val="00F40E7D"/>
    <w:rsid w:val="00F4170B"/>
    <w:rsid w:val="00F417F6"/>
    <w:rsid w:val="00F45214"/>
    <w:rsid w:val="00F460F1"/>
    <w:rsid w:val="00F47A2D"/>
    <w:rsid w:val="00F47EDE"/>
    <w:rsid w:val="00F51438"/>
    <w:rsid w:val="00F525FC"/>
    <w:rsid w:val="00F52FA0"/>
    <w:rsid w:val="00F53847"/>
    <w:rsid w:val="00F550AE"/>
    <w:rsid w:val="00F5635F"/>
    <w:rsid w:val="00F56F30"/>
    <w:rsid w:val="00F6289D"/>
    <w:rsid w:val="00F630C0"/>
    <w:rsid w:val="00F638C1"/>
    <w:rsid w:val="00F66FD7"/>
    <w:rsid w:val="00F67B78"/>
    <w:rsid w:val="00F71EFC"/>
    <w:rsid w:val="00F74A14"/>
    <w:rsid w:val="00F75303"/>
    <w:rsid w:val="00F76838"/>
    <w:rsid w:val="00F77DB6"/>
    <w:rsid w:val="00F80750"/>
    <w:rsid w:val="00F831A2"/>
    <w:rsid w:val="00F83CB2"/>
    <w:rsid w:val="00F86640"/>
    <w:rsid w:val="00F90363"/>
    <w:rsid w:val="00F9402B"/>
    <w:rsid w:val="00F9693A"/>
    <w:rsid w:val="00F9699F"/>
    <w:rsid w:val="00FA16A6"/>
    <w:rsid w:val="00FA1CA7"/>
    <w:rsid w:val="00FA56C8"/>
    <w:rsid w:val="00FA5996"/>
    <w:rsid w:val="00FA5C6C"/>
    <w:rsid w:val="00FA7581"/>
    <w:rsid w:val="00FA7AAA"/>
    <w:rsid w:val="00FB0939"/>
    <w:rsid w:val="00FB188A"/>
    <w:rsid w:val="00FB4DD1"/>
    <w:rsid w:val="00FB57D9"/>
    <w:rsid w:val="00FB7C9C"/>
    <w:rsid w:val="00FC077D"/>
    <w:rsid w:val="00FC0B14"/>
    <w:rsid w:val="00FC0B1F"/>
    <w:rsid w:val="00FC1263"/>
    <w:rsid w:val="00FC26AC"/>
    <w:rsid w:val="00FC5A3B"/>
    <w:rsid w:val="00FD0312"/>
    <w:rsid w:val="00FD3011"/>
    <w:rsid w:val="00FD3CEF"/>
    <w:rsid w:val="00FD477F"/>
    <w:rsid w:val="00FD4A95"/>
    <w:rsid w:val="00FD5F6D"/>
    <w:rsid w:val="00FD710E"/>
    <w:rsid w:val="00FE05CD"/>
    <w:rsid w:val="00FE24AD"/>
    <w:rsid w:val="00FE40AD"/>
    <w:rsid w:val="00FE4266"/>
    <w:rsid w:val="00FE5ADB"/>
    <w:rsid w:val="00FF0106"/>
    <w:rsid w:val="00FF0C77"/>
    <w:rsid w:val="00FF5BA4"/>
    <w:rsid w:val="00FF628D"/>
    <w:rsid w:val="00FF723A"/>
    <w:rsid w:val="00FF7D21"/>
    <w:rsid w:val="10F3FDFC"/>
    <w:rsid w:val="42A675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FA81BA-15FA-4864-A626-18C7009D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3F2"/>
    <w:pPr>
      <w:spacing w:before="120" w:after="120" w:line="360" w:lineRule="auto"/>
    </w:pPr>
    <w:rPr>
      <w:rFonts w:ascii="Times New Roman" w:hAnsi="Times New Roman" w:cs="Times New Roman"/>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5488B"/>
    <w:pPr>
      <w:tabs>
        <w:tab w:val="right" w:pos="9638"/>
      </w:tabs>
    </w:pPr>
  </w:style>
  <w:style w:type="character" w:customStyle="1" w:styleId="ZaglavljeChar">
    <w:name w:val="Zaglavlje Char"/>
    <w:basedOn w:val="Zadanifontodlomka"/>
    <w:link w:val="Zaglavlje"/>
    <w:uiPriority w:val="99"/>
    <w:rsid w:val="00B5488B"/>
    <w:rPr>
      <w:rFonts w:ascii="Times New Roman" w:hAnsi="Times New Roman" w:cs="Times New Roman"/>
      <w:sz w:val="24"/>
      <w:shd w:val="clear" w:color="auto" w:fill="auto"/>
      <w:lang w:val="en-GB"/>
    </w:rPr>
  </w:style>
  <w:style w:type="paragraph" w:styleId="Podnoje">
    <w:name w:val="footer"/>
    <w:basedOn w:val="Normal"/>
    <w:link w:val="PodnojeChar"/>
    <w:uiPriority w:val="99"/>
    <w:unhideWhenUsed/>
    <w:rsid w:val="00B5488B"/>
    <w:pPr>
      <w:tabs>
        <w:tab w:val="center" w:pos="4819"/>
        <w:tab w:val="center" w:pos="7370"/>
        <w:tab w:val="right" w:pos="9638"/>
      </w:tabs>
      <w:spacing w:before="0" w:after="0" w:line="240" w:lineRule="auto"/>
    </w:pPr>
  </w:style>
  <w:style w:type="character" w:customStyle="1" w:styleId="PodnojeChar">
    <w:name w:val="Podnožje Char"/>
    <w:basedOn w:val="Zadanifontodlomka"/>
    <w:link w:val="Podnoje"/>
    <w:uiPriority w:val="99"/>
    <w:rsid w:val="00B5488B"/>
    <w:rPr>
      <w:rFonts w:ascii="Times New Roman" w:hAnsi="Times New Roman" w:cs="Times New Roman"/>
      <w:sz w:val="24"/>
      <w:shd w:val="clear" w:color="auto" w:fill="auto"/>
      <w:lang w:val="en-GB"/>
    </w:rPr>
  </w:style>
  <w:style w:type="paragraph" w:styleId="Tekstfusnote">
    <w:name w:val="footnote text"/>
    <w:aliases w:val="Footnote Text Char1 Char,Footnote Text Char Char Char,Footnote Text Char2 Char Char Char,Footnote Text Char1 Char Char Char Char,Footnote Text Char Char Char Char Char Char,Plonk,Footnote Text Char2,Footnote text,stile 1,Footnote1,fn,f,ft"/>
    <w:basedOn w:val="Normal"/>
    <w:link w:val="TekstfusnoteChar"/>
    <w:uiPriority w:val="99"/>
    <w:unhideWhenUsed/>
    <w:qFormat/>
    <w:rsid w:val="009C6417"/>
    <w:pPr>
      <w:spacing w:before="0" w:after="0" w:line="240" w:lineRule="auto"/>
      <w:ind w:left="720" w:hanging="720"/>
    </w:pPr>
    <w:rPr>
      <w:szCs w:val="20"/>
    </w:rPr>
  </w:style>
  <w:style w:type="character" w:customStyle="1" w:styleId="TekstfusnoteChar">
    <w:name w:val="Tekst fusnote Char"/>
    <w:aliases w:val="Footnote Text Char1 Char Char,Footnote Text Char Char Char Char,Footnote Text Char2 Char Char Char Char,Footnote Text Char1 Char Char Char Char Char,Footnote Text Char Char Char Char Char Char Char,Plonk Char,Footnote Text Char2 Char"/>
    <w:basedOn w:val="Zadanifontodlomka"/>
    <w:link w:val="Tekstfusnote"/>
    <w:uiPriority w:val="99"/>
    <w:qFormat/>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Referencafusnote">
    <w:name w:val="footnote reference"/>
    <w:aliases w:val="BVI fnr,Footnote Reference Number,E FNZ,-E Fußnotenzeichen,Footnote#,Footnote symbol,Footnote,Times 10 Point,Exposant 3 Point,Ref,de nota al pie,Footnote reference number,note TESI,SUPERS,EN Footnote Reference,Nota,E FN,fr,ftref"/>
    <w:basedOn w:val="Zadanifontodlomka"/>
    <w:link w:val="BVIfnrZnak"/>
    <w:uiPriority w:val="99"/>
    <w:unhideWhenUsed/>
    <w:qFormat/>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link w:val="TechnicalBlockChar"/>
    <w:rsid w:val="003F64A9"/>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Zadanifontodlomka"/>
    <w:rsid w:val="009C6417"/>
    <w:rPr>
      <w:color w:val="0000FF"/>
      <w:shd w:val="clear" w:color="auto" w:fill="auto"/>
    </w:rPr>
  </w:style>
  <w:style w:type="character" w:customStyle="1" w:styleId="Marker1">
    <w:name w:val="Marker1"/>
    <w:basedOn w:val="Zadanifontodlomka"/>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Zadanifontodlomka"/>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customStyle="1" w:styleId="HeaderCouncilLarge">
    <w:name w:val="Header Council Large"/>
    <w:basedOn w:val="Normal"/>
    <w:link w:val="HeaderCouncilLargeChar"/>
    <w:rsid w:val="000E670A"/>
    <w:pPr>
      <w:spacing w:before="0" w:after="440"/>
      <w:ind w:left="-1134" w:right="-1134"/>
    </w:pPr>
    <w:rPr>
      <w:sz w:val="2"/>
    </w:rPr>
  </w:style>
  <w:style w:type="character" w:customStyle="1" w:styleId="TechnicalBlockChar">
    <w:name w:val="Technical Block Char"/>
    <w:basedOn w:val="Zadanifontodlomka"/>
    <w:link w:val="TechnicalBlock"/>
    <w:rsid w:val="000E670A"/>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0E670A"/>
    <w:rPr>
      <w:rFonts w:ascii="Times New Roman" w:hAnsi="Times New Roman" w:cs="Times New Roman"/>
      <w:sz w:val="2"/>
      <w:lang w:val="en-GB"/>
    </w:rPr>
  </w:style>
  <w:style w:type="paragraph" w:customStyle="1" w:styleId="FooterText">
    <w:name w:val="Footer Text"/>
    <w:basedOn w:val="Normal"/>
    <w:rsid w:val="000E670A"/>
    <w:pPr>
      <w:spacing w:before="0" w:after="0" w:line="240" w:lineRule="auto"/>
    </w:pPr>
    <w:rPr>
      <w:rFonts w:eastAsia="Times New Roman"/>
      <w:szCs w:val="24"/>
    </w:rPr>
  </w:style>
  <w:style w:type="character" w:styleId="Tekstrezerviranogmjesta">
    <w:name w:val="Placeholder Text"/>
    <w:basedOn w:val="Zadanifontodlomka"/>
    <w:uiPriority w:val="99"/>
    <w:semiHidden/>
    <w:rsid w:val="000E670A"/>
    <w:rPr>
      <w:color w:val="808080"/>
    </w:rPr>
  </w:style>
  <w:style w:type="character" w:styleId="Hiperveza">
    <w:name w:val="Hyperlink"/>
    <w:basedOn w:val="Zadanifontodlomka"/>
    <w:uiPriority w:val="99"/>
    <w:unhideWhenUsed/>
    <w:rsid w:val="00CA28E4"/>
    <w:rPr>
      <w:color w:val="0000FF"/>
      <w:u w:val="single"/>
    </w:rPr>
  </w:style>
  <w:style w:type="paragraph" w:styleId="Tekstbalonia">
    <w:name w:val="Balloon Text"/>
    <w:basedOn w:val="Normal"/>
    <w:link w:val="TekstbaloniaChar"/>
    <w:uiPriority w:val="99"/>
    <w:semiHidden/>
    <w:unhideWhenUsed/>
    <w:rsid w:val="007F7EF6"/>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F7EF6"/>
    <w:rPr>
      <w:rFonts w:ascii="Segoe UI" w:hAnsi="Segoe UI" w:cs="Segoe UI"/>
      <w:sz w:val="18"/>
      <w:szCs w:val="18"/>
      <w:lang w:val="en-GB"/>
    </w:rPr>
  </w:style>
  <w:style w:type="character" w:styleId="Referencakomentara">
    <w:name w:val="annotation reference"/>
    <w:basedOn w:val="Zadanifontodlomka"/>
    <w:uiPriority w:val="99"/>
    <w:semiHidden/>
    <w:unhideWhenUsed/>
    <w:rsid w:val="003819F1"/>
    <w:rPr>
      <w:sz w:val="16"/>
      <w:szCs w:val="16"/>
    </w:rPr>
  </w:style>
  <w:style w:type="paragraph" w:styleId="Tekstkomentara">
    <w:name w:val="annotation text"/>
    <w:basedOn w:val="Normal"/>
    <w:link w:val="TekstkomentaraChar"/>
    <w:uiPriority w:val="99"/>
    <w:unhideWhenUsed/>
    <w:rsid w:val="003819F1"/>
    <w:pPr>
      <w:spacing w:line="240" w:lineRule="auto"/>
    </w:pPr>
    <w:rPr>
      <w:sz w:val="20"/>
      <w:szCs w:val="20"/>
    </w:rPr>
  </w:style>
  <w:style w:type="character" w:customStyle="1" w:styleId="TekstkomentaraChar">
    <w:name w:val="Tekst komentara Char"/>
    <w:basedOn w:val="Zadanifontodlomka"/>
    <w:link w:val="Tekstkomentara"/>
    <w:uiPriority w:val="99"/>
    <w:rsid w:val="003819F1"/>
    <w:rPr>
      <w:rFonts w:ascii="Times New Roman" w:hAnsi="Times New Roman" w:cs="Times New Roman"/>
      <w:sz w:val="20"/>
      <w:szCs w:val="20"/>
      <w:lang w:val="en-GB"/>
    </w:rPr>
  </w:style>
  <w:style w:type="paragraph" w:styleId="Predmetkomentara">
    <w:name w:val="annotation subject"/>
    <w:basedOn w:val="Tekstkomentara"/>
    <w:next w:val="Tekstkomentara"/>
    <w:link w:val="PredmetkomentaraChar"/>
    <w:uiPriority w:val="99"/>
    <w:semiHidden/>
    <w:unhideWhenUsed/>
    <w:rsid w:val="003819F1"/>
    <w:rPr>
      <w:b/>
      <w:bCs/>
    </w:rPr>
  </w:style>
  <w:style w:type="character" w:customStyle="1" w:styleId="PredmetkomentaraChar">
    <w:name w:val="Predmet komentara Char"/>
    <w:basedOn w:val="TekstkomentaraChar"/>
    <w:link w:val="Predmetkomentara"/>
    <w:uiPriority w:val="99"/>
    <w:semiHidden/>
    <w:rsid w:val="003819F1"/>
    <w:rPr>
      <w:rFonts w:ascii="Times New Roman" w:hAnsi="Times New Roman" w:cs="Times New Roman"/>
      <w:b/>
      <w:bCs/>
      <w:sz w:val="20"/>
      <w:szCs w:val="20"/>
      <w:lang w:val="en-GB"/>
    </w:rPr>
  </w:style>
  <w:style w:type="character" w:customStyle="1" w:styleId="FootnoteCharacters">
    <w:name w:val="Footnote Characters"/>
    <w:qFormat/>
    <w:rsid w:val="00BA1F4B"/>
    <w:rPr>
      <w:vertAlign w:val="superscript"/>
    </w:rPr>
  </w:style>
  <w:style w:type="paragraph" w:styleId="StandardWeb">
    <w:name w:val="Normal (Web)"/>
    <w:basedOn w:val="Normal"/>
    <w:uiPriority w:val="99"/>
    <w:unhideWhenUsed/>
    <w:rsid w:val="00BA1F4B"/>
    <w:pPr>
      <w:spacing w:before="100" w:beforeAutospacing="1" w:after="100" w:afterAutospacing="1" w:line="240" w:lineRule="auto"/>
    </w:pPr>
    <w:rPr>
      <w:rFonts w:eastAsia="Times New Roman"/>
      <w:szCs w:val="24"/>
      <w:lang w:val="de-AT" w:eastAsia="de-DE"/>
    </w:rPr>
  </w:style>
  <w:style w:type="paragraph" w:customStyle="1" w:styleId="EntEmet">
    <w:name w:val="EntEmet"/>
    <w:basedOn w:val="Normal"/>
    <w:rsid w:val="00BA1F4B"/>
    <w:pPr>
      <w:widowControl w:val="0"/>
      <w:tabs>
        <w:tab w:val="left" w:pos="284"/>
        <w:tab w:val="left" w:pos="567"/>
        <w:tab w:val="left" w:pos="851"/>
        <w:tab w:val="left" w:pos="1134"/>
        <w:tab w:val="left" w:pos="1418"/>
      </w:tabs>
      <w:spacing w:before="40" w:after="0" w:line="240" w:lineRule="auto"/>
    </w:pPr>
    <w:rPr>
      <w:rFonts w:eastAsia="Times New Roman"/>
      <w:szCs w:val="20"/>
      <w:lang w:eastAsia="fr-BE"/>
    </w:rPr>
  </w:style>
  <w:style w:type="character" w:styleId="Istaknuto">
    <w:name w:val="Emphasis"/>
    <w:basedOn w:val="Zadanifontodlomka"/>
    <w:uiPriority w:val="20"/>
    <w:qFormat/>
    <w:rsid w:val="00DB309F"/>
    <w:rPr>
      <w:i/>
      <w:iCs/>
    </w:rPr>
  </w:style>
  <w:style w:type="character" w:styleId="Brojstranice">
    <w:name w:val="page number"/>
    <w:basedOn w:val="Zadanifontodlomka"/>
    <w:rsid w:val="00171840"/>
  </w:style>
  <w:style w:type="paragraph" w:styleId="Revizija">
    <w:name w:val="Revision"/>
    <w:hidden/>
    <w:uiPriority w:val="99"/>
    <w:semiHidden/>
    <w:rsid w:val="003172C6"/>
    <w:pPr>
      <w:spacing w:after="0" w:line="240" w:lineRule="auto"/>
    </w:pPr>
    <w:rPr>
      <w:rFonts w:ascii="Times New Roman" w:hAnsi="Times New Roman" w:cs="Times New Roman"/>
      <w:sz w:val="24"/>
      <w:lang w:val="en-GB"/>
    </w:rPr>
  </w:style>
  <w:style w:type="character" w:customStyle="1" w:styleId="UnresolvedMention1">
    <w:name w:val="Unresolved Mention1"/>
    <w:basedOn w:val="Zadanifontodlomka"/>
    <w:uiPriority w:val="99"/>
    <w:semiHidden/>
    <w:unhideWhenUsed/>
    <w:rsid w:val="008D670E"/>
    <w:rPr>
      <w:color w:val="605E5C"/>
      <w:shd w:val="clear" w:color="auto" w:fill="E1DFDD"/>
    </w:rPr>
  </w:style>
  <w:style w:type="character" w:styleId="SlijeenaHiperveza">
    <w:name w:val="FollowedHyperlink"/>
    <w:basedOn w:val="Zadanifontodlomka"/>
    <w:uiPriority w:val="99"/>
    <w:semiHidden/>
    <w:unhideWhenUsed/>
    <w:rsid w:val="006D18B8"/>
    <w:rPr>
      <w:color w:val="800080" w:themeColor="followedHyperlink"/>
      <w:u w:val="single"/>
    </w:rPr>
  </w:style>
  <w:style w:type="paragraph" w:styleId="Odlomakpopisa">
    <w:name w:val="List Paragraph"/>
    <w:basedOn w:val="Normal"/>
    <w:uiPriority w:val="34"/>
    <w:qFormat/>
    <w:rsid w:val="00BE60E0"/>
    <w:pPr>
      <w:ind w:left="720"/>
      <w:contextualSpacing/>
    </w:pPr>
  </w:style>
  <w:style w:type="paragraph" w:styleId="HTMLunaprijedoblikovano">
    <w:name w:val="HTML Preformatted"/>
    <w:basedOn w:val="Normal"/>
    <w:link w:val="HTMLunaprijedoblikovanoChar"/>
    <w:uiPriority w:val="99"/>
    <w:semiHidden/>
    <w:unhideWhenUsed/>
    <w:rsid w:val="009730CA"/>
    <w:pPr>
      <w:spacing w:before="0" w:after="0" w:line="240" w:lineRule="auto"/>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9730CA"/>
    <w:rPr>
      <w:rFonts w:ascii="Consolas" w:hAnsi="Consolas" w:cs="Times New Roman"/>
      <w:sz w:val="20"/>
      <w:szCs w:val="20"/>
      <w:lang w:val="en-GB"/>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Referencafusnote"/>
    <w:uiPriority w:val="99"/>
    <w:qFormat/>
    <w:rsid w:val="002E5205"/>
    <w:pPr>
      <w:spacing w:before="0" w:after="160" w:line="240" w:lineRule="exact"/>
    </w:pPr>
    <w:rPr>
      <w:rFonts w:asciiTheme="minorHAnsi" w:hAnsiTheme="minorHAnsi" w:cstheme="minorBidi"/>
      <w:b/>
      <w:sz w:val="22"/>
      <w:vertAlign w:val="superscript"/>
      <w:lang w:val="en-US"/>
    </w:rPr>
  </w:style>
  <w:style w:type="character" w:customStyle="1" w:styleId="epname">
    <w:name w:val="ep_name"/>
    <w:basedOn w:val="Zadanifontodlomka"/>
    <w:rsid w:val="003653F3"/>
  </w:style>
  <w:style w:type="character" w:customStyle="1" w:styleId="epicon">
    <w:name w:val="ep_icon"/>
    <w:basedOn w:val="Zadanifontodlomka"/>
    <w:rsid w:val="003653F3"/>
  </w:style>
  <w:style w:type="character" w:customStyle="1" w:styleId="epformat">
    <w:name w:val="ep_format"/>
    <w:basedOn w:val="Zadanifontodlomka"/>
    <w:rsid w:val="003653F3"/>
  </w:style>
  <w:style w:type="character" w:customStyle="1" w:styleId="st">
    <w:name w:val="st"/>
    <w:basedOn w:val="Zadanifontodlomka"/>
    <w:rsid w:val="000211DC"/>
  </w:style>
  <w:style w:type="character" w:customStyle="1" w:styleId="UnresolvedMention2">
    <w:name w:val="Unresolved Mention2"/>
    <w:basedOn w:val="Zadanifontodlomka"/>
    <w:uiPriority w:val="99"/>
    <w:semiHidden/>
    <w:unhideWhenUsed/>
    <w:rsid w:val="009D4819"/>
    <w:rPr>
      <w:color w:val="605E5C"/>
      <w:shd w:val="clear" w:color="auto" w:fill="E1DFDD"/>
    </w:rPr>
  </w:style>
  <w:style w:type="character" w:customStyle="1" w:styleId="UnresolvedMention3">
    <w:name w:val="Unresolved Mention3"/>
    <w:basedOn w:val="Zadanifontodlomka"/>
    <w:uiPriority w:val="99"/>
    <w:semiHidden/>
    <w:unhideWhenUsed/>
    <w:rsid w:val="003F7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14935">
      <w:bodyDiv w:val="1"/>
      <w:marLeft w:val="0"/>
      <w:marRight w:val="0"/>
      <w:marTop w:val="0"/>
      <w:marBottom w:val="0"/>
      <w:divBdr>
        <w:top w:val="none" w:sz="0" w:space="0" w:color="auto"/>
        <w:left w:val="none" w:sz="0" w:space="0" w:color="auto"/>
        <w:bottom w:val="none" w:sz="0" w:space="0" w:color="auto"/>
        <w:right w:val="none" w:sz="0" w:space="0" w:color="auto"/>
      </w:divBdr>
    </w:div>
    <w:div w:id="499319323">
      <w:bodyDiv w:val="1"/>
      <w:marLeft w:val="0"/>
      <w:marRight w:val="0"/>
      <w:marTop w:val="0"/>
      <w:marBottom w:val="0"/>
      <w:divBdr>
        <w:top w:val="none" w:sz="0" w:space="0" w:color="auto"/>
        <w:left w:val="none" w:sz="0" w:space="0" w:color="auto"/>
        <w:bottom w:val="none" w:sz="0" w:space="0" w:color="auto"/>
        <w:right w:val="none" w:sz="0" w:space="0" w:color="auto"/>
      </w:divBdr>
    </w:div>
    <w:div w:id="507258046">
      <w:bodyDiv w:val="1"/>
      <w:marLeft w:val="0"/>
      <w:marRight w:val="0"/>
      <w:marTop w:val="0"/>
      <w:marBottom w:val="0"/>
      <w:divBdr>
        <w:top w:val="none" w:sz="0" w:space="0" w:color="auto"/>
        <w:left w:val="none" w:sz="0" w:space="0" w:color="auto"/>
        <w:bottom w:val="none" w:sz="0" w:space="0" w:color="auto"/>
        <w:right w:val="none" w:sz="0" w:space="0" w:color="auto"/>
      </w:divBdr>
    </w:div>
    <w:div w:id="546144030">
      <w:bodyDiv w:val="1"/>
      <w:marLeft w:val="0"/>
      <w:marRight w:val="0"/>
      <w:marTop w:val="0"/>
      <w:marBottom w:val="0"/>
      <w:divBdr>
        <w:top w:val="none" w:sz="0" w:space="0" w:color="auto"/>
        <w:left w:val="none" w:sz="0" w:space="0" w:color="auto"/>
        <w:bottom w:val="none" w:sz="0" w:space="0" w:color="auto"/>
        <w:right w:val="none" w:sz="0" w:space="0" w:color="auto"/>
      </w:divBdr>
    </w:div>
    <w:div w:id="844587831">
      <w:bodyDiv w:val="1"/>
      <w:marLeft w:val="0"/>
      <w:marRight w:val="0"/>
      <w:marTop w:val="0"/>
      <w:marBottom w:val="0"/>
      <w:divBdr>
        <w:top w:val="none" w:sz="0" w:space="0" w:color="auto"/>
        <w:left w:val="none" w:sz="0" w:space="0" w:color="auto"/>
        <w:bottom w:val="none" w:sz="0" w:space="0" w:color="auto"/>
        <w:right w:val="none" w:sz="0" w:space="0" w:color="auto"/>
      </w:divBdr>
      <w:divsChild>
        <w:div w:id="2108621295">
          <w:marLeft w:val="0"/>
          <w:marRight w:val="0"/>
          <w:marTop w:val="0"/>
          <w:marBottom w:val="0"/>
          <w:divBdr>
            <w:top w:val="none" w:sz="0" w:space="0" w:color="auto"/>
            <w:left w:val="none" w:sz="0" w:space="0" w:color="auto"/>
            <w:bottom w:val="none" w:sz="0" w:space="0" w:color="auto"/>
            <w:right w:val="none" w:sz="0" w:space="0" w:color="auto"/>
          </w:divBdr>
          <w:divsChild>
            <w:div w:id="1770006924">
              <w:marLeft w:val="0"/>
              <w:marRight w:val="0"/>
              <w:marTop w:val="0"/>
              <w:marBottom w:val="0"/>
              <w:divBdr>
                <w:top w:val="none" w:sz="0" w:space="0" w:color="auto"/>
                <w:left w:val="none" w:sz="0" w:space="0" w:color="auto"/>
                <w:bottom w:val="none" w:sz="0" w:space="0" w:color="auto"/>
                <w:right w:val="none" w:sz="0" w:space="0" w:color="auto"/>
              </w:divBdr>
              <w:divsChild>
                <w:div w:id="233010767">
                  <w:marLeft w:val="0"/>
                  <w:marRight w:val="0"/>
                  <w:marTop w:val="0"/>
                  <w:marBottom w:val="0"/>
                  <w:divBdr>
                    <w:top w:val="none" w:sz="0" w:space="0" w:color="auto"/>
                    <w:left w:val="none" w:sz="0" w:space="0" w:color="auto"/>
                    <w:bottom w:val="none" w:sz="0" w:space="0" w:color="auto"/>
                    <w:right w:val="none" w:sz="0" w:space="0" w:color="auto"/>
                  </w:divBdr>
                  <w:divsChild>
                    <w:div w:id="12863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77183">
          <w:marLeft w:val="0"/>
          <w:marRight w:val="0"/>
          <w:marTop w:val="0"/>
          <w:marBottom w:val="0"/>
          <w:divBdr>
            <w:top w:val="none" w:sz="0" w:space="0" w:color="auto"/>
            <w:left w:val="none" w:sz="0" w:space="0" w:color="auto"/>
            <w:bottom w:val="none" w:sz="0" w:space="0" w:color="auto"/>
            <w:right w:val="none" w:sz="0" w:space="0" w:color="auto"/>
          </w:divBdr>
          <w:divsChild>
            <w:div w:id="1707489015">
              <w:marLeft w:val="0"/>
              <w:marRight w:val="0"/>
              <w:marTop w:val="0"/>
              <w:marBottom w:val="0"/>
              <w:divBdr>
                <w:top w:val="none" w:sz="0" w:space="0" w:color="auto"/>
                <w:left w:val="none" w:sz="0" w:space="0" w:color="auto"/>
                <w:bottom w:val="none" w:sz="0" w:space="0" w:color="auto"/>
                <w:right w:val="none" w:sz="0" w:space="0" w:color="auto"/>
              </w:divBdr>
            </w:div>
          </w:divsChild>
        </w:div>
        <w:div w:id="229049599">
          <w:marLeft w:val="0"/>
          <w:marRight w:val="0"/>
          <w:marTop w:val="0"/>
          <w:marBottom w:val="0"/>
          <w:divBdr>
            <w:top w:val="none" w:sz="0" w:space="0" w:color="auto"/>
            <w:left w:val="none" w:sz="0" w:space="0" w:color="auto"/>
            <w:bottom w:val="none" w:sz="0" w:space="0" w:color="auto"/>
            <w:right w:val="none" w:sz="0" w:space="0" w:color="auto"/>
          </w:divBdr>
          <w:divsChild>
            <w:div w:id="1312370568">
              <w:marLeft w:val="0"/>
              <w:marRight w:val="0"/>
              <w:marTop w:val="0"/>
              <w:marBottom w:val="0"/>
              <w:divBdr>
                <w:top w:val="none" w:sz="0" w:space="0" w:color="auto"/>
                <w:left w:val="none" w:sz="0" w:space="0" w:color="auto"/>
                <w:bottom w:val="none" w:sz="0" w:space="0" w:color="auto"/>
                <w:right w:val="none" w:sz="0" w:space="0" w:color="auto"/>
              </w:divBdr>
              <w:divsChild>
                <w:div w:id="572618145">
                  <w:marLeft w:val="0"/>
                  <w:marRight w:val="0"/>
                  <w:marTop w:val="0"/>
                  <w:marBottom w:val="0"/>
                  <w:divBdr>
                    <w:top w:val="none" w:sz="0" w:space="0" w:color="auto"/>
                    <w:left w:val="none" w:sz="0" w:space="0" w:color="auto"/>
                    <w:bottom w:val="none" w:sz="0" w:space="0" w:color="auto"/>
                    <w:right w:val="none" w:sz="0" w:space="0" w:color="auto"/>
                  </w:divBdr>
                  <w:divsChild>
                    <w:div w:id="3092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4544">
      <w:bodyDiv w:val="1"/>
      <w:marLeft w:val="0"/>
      <w:marRight w:val="0"/>
      <w:marTop w:val="0"/>
      <w:marBottom w:val="0"/>
      <w:divBdr>
        <w:top w:val="none" w:sz="0" w:space="0" w:color="auto"/>
        <w:left w:val="none" w:sz="0" w:space="0" w:color="auto"/>
        <w:bottom w:val="none" w:sz="0" w:space="0" w:color="auto"/>
        <w:right w:val="none" w:sz="0" w:space="0" w:color="auto"/>
      </w:divBdr>
    </w:div>
    <w:div w:id="1118766749">
      <w:bodyDiv w:val="1"/>
      <w:marLeft w:val="0"/>
      <w:marRight w:val="0"/>
      <w:marTop w:val="0"/>
      <w:marBottom w:val="0"/>
      <w:divBdr>
        <w:top w:val="none" w:sz="0" w:space="0" w:color="auto"/>
        <w:left w:val="none" w:sz="0" w:space="0" w:color="auto"/>
        <w:bottom w:val="none" w:sz="0" w:space="0" w:color="auto"/>
        <w:right w:val="none" w:sz="0" w:space="0" w:color="auto"/>
      </w:divBdr>
    </w:div>
    <w:div w:id="1132408300">
      <w:bodyDiv w:val="1"/>
      <w:marLeft w:val="0"/>
      <w:marRight w:val="0"/>
      <w:marTop w:val="0"/>
      <w:marBottom w:val="0"/>
      <w:divBdr>
        <w:top w:val="none" w:sz="0" w:space="0" w:color="auto"/>
        <w:left w:val="none" w:sz="0" w:space="0" w:color="auto"/>
        <w:bottom w:val="none" w:sz="0" w:space="0" w:color="auto"/>
        <w:right w:val="none" w:sz="0" w:space="0" w:color="auto"/>
      </w:divBdr>
    </w:div>
    <w:div w:id="1148984905">
      <w:bodyDiv w:val="1"/>
      <w:marLeft w:val="0"/>
      <w:marRight w:val="0"/>
      <w:marTop w:val="0"/>
      <w:marBottom w:val="0"/>
      <w:divBdr>
        <w:top w:val="none" w:sz="0" w:space="0" w:color="auto"/>
        <w:left w:val="none" w:sz="0" w:space="0" w:color="auto"/>
        <w:bottom w:val="none" w:sz="0" w:space="0" w:color="auto"/>
        <w:right w:val="none" w:sz="0" w:space="0" w:color="auto"/>
      </w:divBdr>
    </w:div>
    <w:div w:id="1208029764">
      <w:bodyDiv w:val="1"/>
      <w:marLeft w:val="0"/>
      <w:marRight w:val="0"/>
      <w:marTop w:val="0"/>
      <w:marBottom w:val="0"/>
      <w:divBdr>
        <w:top w:val="none" w:sz="0" w:space="0" w:color="auto"/>
        <w:left w:val="none" w:sz="0" w:space="0" w:color="auto"/>
        <w:bottom w:val="none" w:sz="0" w:space="0" w:color="auto"/>
        <w:right w:val="none" w:sz="0" w:space="0" w:color="auto"/>
      </w:divBdr>
    </w:div>
    <w:div w:id="1313867956">
      <w:bodyDiv w:val="1"/>
      <w:marLeft w:val="0"/>
      <w:marRight w:val="0"/>
      <w:marTop w:val="0"/>
      <w:marBottom w:val="0"/>
      <w:divBdr>
        <w:top w:val="none" w:sz="0" w:space="0" w:color="auto"/>
        <w:left w:val="none" w:sz="0" w:space="0" w:color="auto"/>
        <w:bottom w:val="none" w:sz="0" w:space="0" w:color="auto"/>
        <w:right w:val="none" w:sz="0" w:space="0" w:color="auto"/>
      </w:divBdr>
    </w:div>
    <w:div w:id="1322659574">
      <w:bodyDiv w:val="1"/>
      <w:marLeft w:val="0"/>
      <w:marRight w:val="0"/>
      <w:marTop w:val="0"/>
      <w:marBottom w:val="0"/>
      <w:divBdr>
        <w:top w:val="none" w:sz="0" w:space="0" w:color="auto"/>
        <w:left w:val="none" w:sz="0" w:space="0" w:color="auto"/>
        <w:bottom w:val="none" w:sz="0" w:space="0" w:color="auto"/>
        <w:right w:val="none" w:sz="0" w:space="0" w:color="auto"/>
      </w:divBdr>
    </w:div>
    <w:div w:id="1323780344">
      <w:bodyDiv w:val="1"/>
      <w:marLeft w:val="0"/>
      <w:marRight w:val="0"/>
      <w:marTop w:val="0"/>
      <w:marBottom w:val="0"/>
      <w:divBdr>
        <w:top w:val="none" w:sz="0" w:space="0" w:color="auto"/>
        <w:left w:val="none" w:sz="0" w:space="0" w:color="auto"/>
        <w:bottom w:val="none" w:sz="0" w:space="0" w:color="auto"/>
        <w:right w:val="none" w:sz="0" w:space="0" w:color="auto"/>
      </w:divBdr>
    </w:div>
    <w:div w:id="1651135748">
      <w:bodyDiv w:val="1"/>
      <w:marLeft w:val="0"/>
      <w:marRight w:val="0"/>
      <w:marTop w:val="0"/>
      <w:marBottom w:val="0"/>
      <w:divBdr>
        <w:top w:val="none" w:sz="0" w:space="0" w:color="auto"/>
        <w:left w:val="none" w:sz="0" w:space="0" w:color="auto"/>
        <w:bottom w:val="none" w:sz="0" w:space="0" w:color="auto"/>
        <w:right w:val="none" w:sz="0" w:space="0" w:color="auto"/>
      </w:divBdr>
    </w:div>
    <w:div w:id="1683820826">
      <w:bodyDiv w:val="1"/>
      <w:marLeft w:val="0"/>
      <w:marRight w:val="0"/>
      <w:marTop w:val="0"/>
      <w:marBottom w:val="0"/>
      <w:divBdr>
        <w:top w:val="none" w:sz="0" w:space="0" w:color="auto"/>
        <w:left w:val="none" w:sz="0" w:space="0" w:color="auto"/>
        <w:bottom w:val="none" w:sz="0" w:space="0" w:color="auto"/>
        <w:right w:val="none" w:sz="0" w:space="0" w:color="auto"/>
      </w:divBdr>
    </w:div>
    <w:div w:id="1763985561">
      <w:bodyDiv w:val="1"/>
      <w:marLeft w:val="0"/>
      <w:marRight w:val="0"/>
      <w:marTop w:val="0"/>
      <w:marBottom w:val="0"/>
      <w:divBdr>
        <w:top w:val="none" w:sz="0" w:space="0" w:color="auto"/>
        <w:left w:val="none" w:sz="0" w:space="0" w:color="auto"/>
        <w:bottom w:val="none" w:sz="0" w:space="0" w:color="auto"/>
        <w:right w:val="none" w:sz="0" w:space="0" w:color="auto"/>
      </w:divBdr>
    </w:div>
    <w:div w:id="1841921889">
      <w:bodyDiv w:val="1"/>
      <w:marLeft w:val="0"/>
      <w:marRight w:val="0"/>
      <w:marTop w:val="0"/>
      <w:marBottom w:val="0"/>
      <w:divBdr>
        <w:top w:val="none" w:sz="0" w:space="0" w:color="auto"/>
        <w:left w:val="none" w:sz="0" w:space="0" w:color="auto"/>
        <w:bottom w:val="none" w:sz="0" w:space="0" w:color="auto"/>
        <w:right w:val="none" w:sz="0" w:space="0" w:color="auto"/>
      </w:divBdr>
    </w:div>
    <w:div w:id="1850485611">
      <w:bodyDiv w:val="1"/>
      <w:marLeft w:val="0"/>
      <w:marRight w:val="0"/>
      <w:marTop w:val="0"/>
      <w:marBottom w:val="0"/>
      <w:divBdr>
        <w:top w:val="none" w:sz="0" w:space="0" w:color="auto"/>
        <w:left w:val="none" w:sz="0" w:space="0" w:color="auto"/>
        <w:bottom w:val="none" w:sz="0" w:space="0" w:color="auto"/>
        <w:right w:val="none" w:sz="0" w:space="0" w:color="auto"/>
      </w:divBdr>
    </w:div>
    <w:div w:id="1899168414">
      <w:bodyDiv w:val="1"/>
      <w:marLeft w:val="0"/>
      <w:marRight w:val="0"/>
      <w:marTop w:val="0"/>
      <w:marBottom w:val="0"/>
      <w:divBdr>
        <w:top w:val="none" w:sz="0" w:space="0" w:color="auto"/>
        <w:left w:val="none" w:sz="0" w:space="0" w:color="auto"/>
        <w:bottom w:val="none" w:sz="0" w:space="0" w:color="auto"/>
        <w:right w:val="none" w:sz="0" w:space="0" w:color="auto"/>
      </w:divBdr>
    </w:div>
    <w:div w:id="1927107365">
      <w:bodyDiv w:val="1"/>
      <w:marLeft w:val="0"/>
      <w:marRight w:val="0"/>
      <w:marTop w:val="0"/>
      <w:marBottom w:val="0"/>
      <w:divBdr>
        <w:top w:val="none" w:sz="0" w:space="0" w:color="auto"/>
        <w:left w:val="none" w:sz="0" w:space="0" w:color="auto"/>
        <w:bottom w:val="none" w:sz="0" w:space="0" w:color="auto"/>
        <w:right w:val="none" w:sz="0" w:space="0" w:color="auto"/>
      </w:divBdr>
      <w:divsChild>
        <w:div w:id="2040887935">
          <w:marLeft w:val="0"/>
          <w:marRight w:val="0"/>
          <w:marTop w:val="0"/>
          <w:marBottom w:val="0"/>
          <w:divBdr>
            <w:top w:val="none" w:sz="0" w:space="0" w:color="auto"/>
            <w:left w:val="none" w:sz="0" w:space="0" w:color="auto"/>
            <w:bottom w:val="none" w:sz="0" w:space="0" w:color="auto"/>
            <w:right w:val="none" w:sz="0" w:space="0" w:color="auto"/>
          </w:divBdr>
          <w:divsChild>
            <w:div w:id="1026252243">
              <w:marLeft w:val="0"/>
              <w:marRight w:val="0"/>
              <w:marTop w:val="0"/>
              <w:marBottom w:val="0"/>
              <w:divBdr>
                <w:top w:val="none" w:sz="0" w:space="0" w:color="auto"/>
                <w:left w:val="none" w:sz="0" w:space="0" w:color="auto"/>
                <w:bottom w:val="none" w:sz="0" w:space="0" w:color="auto"/>
                <w:right w:val="none" w:sz="0" w:space="0" w:color="auto"/>
              </w:divBdr>
              <w:divsChild>
                <w:div w:id="1289118909">
                  <w:marLeft w:val="0"/>
                  <w:marRight w:val="0"/>
                  <w:marTop w:val="0"/>
                  <w:marBottom w:val="0"/>
                  <w:divBdr>
                    <w:top w:val="none" w:sz="0" w:space="0" w:color="auto"/>
                    <w:left w:val="none" w:sz="0" w:space="0" w:color="auto"/>
                    <w:bottom w:val="none" w:sz="0" w:space="0" w:color="auto"/>
                    <w:right w:val="none" w:sz="0" w:space="0" w:color="auto"/>
                  </w:divBdr>
                  <w:divsChild>
                    <w:div w:id="12485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8323">
          <w:marLeft w:val="0"/>
          <w:marRight w:val="0"/>
          <w:marTop w:val="0"/>
          <w:marBottom w:val="0"/>
          <w:divBdr>
            <w:top w:val="none" w:sz="0" w:space="0" w:color="auto"/>
            <w:left w:val="none" w:sz="0" w:space="0" w:color="auto"/>
            <w:bottom w:val="none" w:sz="0" w:space="0" w:color="auto"/>
            <w:right w:val="none" w:sz="0" w:space="0" w:color="auto"/>
          </w:divBdr>
          <w:divsChild>
            <w:div w:id="448092651">
              <w:marLeft w:val="0"/>
              <w:marRight w:val="0"/>
              <w:marTop w:val="0"/>
              <w:marBottom w:val="0"/>
              <w:divBdr>
                <w:top w:val="none" w:sz="0" w:space="0" w:color="auto"/>
                <w:left w:val="none" w:sz="0" w:space="0" w:color="auto"/>
                <w:bottom w:val="none" w:sz="0" w:space="0" w:color="auto"/>
                <w:right w:val="none" w:sz="0" w:space="0" w:color="auto"/>
              </w:divBdr>
            </w:div>
          </w:divsChild>
        </w:div>
        <w:div w:id="2112622409">
          <w:marLeft w:val="0"/>
          <w:marRight w:val="0"/>
          <w:marTop w:val="0"/>
          <w:marBottom w:val="0"/>
          <w:divBdr>
            <w:top w:val="none" w:sz="0" w:space="0" w:color="auto"/>
            <w:left w:val="none" w:sz="0" w:space="0" w:color="auto"/>
            <w:bottom w:val="none" w:sz="0" w:space="0" w:color="auto"/>
            <w:right w:val="none" w:sz="0" w:space="0" w:color="auto"/>
          </w:divBdr>
          <w:divsChild>
            <w:div w:id="46033147">
              <w:marLeft w:val="0"/>
              <w:marRight w:val="0"/>
              <w:marTop w:val="0"/>
              <w:marBottom w:val="0"/>
              <w:divBdr>
                <w:top w:val="none" w:sz="0" w:space="0" w:color="auto"/>
                <w:left w:val="none" w:sz="0" w:space="0" w:color="auto"/>
                <w:bottom w:val="none" w:sz="0" w:space="0" w:color="auto"/>
                <w:right w:val="none" w:sz="0" w:space="0" w:color="auto"/>
              </w:divBdr>
              <w:divsChild>
                <w:div w:id="1835342029">
                  <w:marLeft w:val="0"/>
                  <w:marRight w:val="0"/>
                  <w:marTop w:val="0"/>
                  <w:marBottom w:val="0"/>
                  <w:divBdr>
                    <w:top w:val="none" w:sz="0" w:space="0" w:color="auto"/>
                    <w:left w:val="none" w:sz="0" w:space="0" w:color="auto"/>
                    <w:bottom w:val="none" w:sz="0" w:space="0" w:color="auto"/>
                    <w:right w:val="none" w:sz="0" w:space="0" w:color="auto"/>
                  </w:divBdr>
                  <w:divsChild>
                    <w:div w:id="8523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0658">
      <w:bodyDiv w:val="1"/>
      <w:marLeft w:val="0"/>
      <w:marRight w:val="0"/>
      <w:marTop w:val="0"/>
      <w:marBottom w:val="0"/>
      <w:divBdr>
        <w:top w:val="none" w:sz="0" w:space="0" w:color="auto"/>
        <w:left w:val="none" w:sz="0" w:space="0" w:color="auto"/>
        <w:bottom w:val="none" w:sz="0" w:space="0" w:color="auto"/>
        <w:right w:val="none" w:sz="0" w:space="0" w:color="auto"/>
      </w:divBdr>
    </w:div>
    <w:div w:id="1960263113">
      <w:bodyDiv w:val="1"/>
      <w:marLeft w:val="0"/>
      <w:marRight w:val="0"/>
      <w:marTop w:val="0"/>
      <w:marBottom w:val="0"/>
      <w:divBdr>
        <w:top w:val="none" w:sz="0" w:space="0" w:color="auto"/>
        <w:left w:val="none" w:sz="0" w:space="0" w:color="auto"/>
        <w:bottom w:val="none" w:sz="0" w:space="0" w:color="auto"/>
        <w:right w:val="none" w:sz="0" w:space="0" w:color="auto"/>
      </w:divBdr>
    </w:div>
    <w:div w:id="202076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s://ec.europa.eu/commission/sites/beta-political/files/social-summit-european-pillar-social-rights-booklet_en.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ec.europa.eu/regional_policy/en/policy/themes/social-inclusion/desinsti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ec.europa.eu/info/sites/info/files/aid_development_cooperation_fundamental_rights/annual_report_ge_2019_en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ilo.org/global/publications/books/WCMS_633135/lang--en/index.ht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eesc.europa.eu/en/our-work/opinions-information-reports/opinions/impact-social-investment-employment-and-public-budgets"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data.consilium.europa.eu/doc/document/ST-17816-2011-INIT/e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urofound.europa.eu/sites/default/files/ef_publication/field_ef_document/ef18065en.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CF056-227F-4E9A-8F03-A7FB640E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2</TotalTime>
  <Pages>1</Pages>
  <Words>3571</Words>
  <Characters>20358</Characters>
  <Application>Microsoft Office Word</Application>
  <DocSecurity>0</DocSecurity>
  <Lines>169</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Tamara Sterk</cp:lastModifiedBy>
  <cp:revision>2</cp:revision>
  <cp:lastPrinted>2020-06-10T07:18:00Z</cp:lastPrinted>
  <dcterms:created xsi:type="dcterms:W3CDTF">2020-09-09T14:41:00Z</dcterms:created>
  <dcterms:modified xsi:type="dcterms:W3CDTF">2020-09-09T14:41:00Z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4.1.6.0</vt:lpwstr>
  </property>
  <property fmtid="{D5CDD505-2E9C-101B-9397-08002B2CF9AE}" pid="3" name="Created using">
    <vt:lpwstr>DocuWrite 4.2.2, Build 20181002</vt:lpwstr>
  </property>
  <property fmtid="{D5CDD505-2E9C-101B-9397-08002B2CF9AE}" pid="4" name="Last edited using">
    <vt:lpwstr>DocuWrite 4.3.12, Build 20200224</vt:lpwstr>
  </property>
</Properties>
</file>